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24C5C" w14:textId="77777777" w:rsidR="00E70D32" w:rsidRDefault="00E70D32" w:rsidP="00E70D32">
      <w:r>
        <w:rPr>
          <w:rFonts w:hint="eastAsia"/>
        </w:rPr>
        <w:t>別表１</w:t>
      </w:r>
    </w:p>
    <w:tbl>
      <w:tblPr>
        <w:tblStyle w:val="ae"/>
        <w:tblpPr w:leftFromText="142" w:rightFromText="142" w:vertAnchor="text" w:horzAnchor="margin" w:tblpXSpec="center" w:tblpYSpec="outside"/>
        <w:tblW w:w="15871" w:type="dxa"/>
        <w:tblLook w:val="04A0" w:firstRow="1" w:lastRow="0" w:firstColumn="1" w:lastColumn="0" w:noHBand="0" w:noVBand="1"/>
      </w:tblPr>
      <w:tblGrid>
        <w:gridCol w:w="1696"/>
        <w:gridCol w:w="1418"/>
        <w:gridCol w:w="2268"/>
        <w:gridCol w:w="1984"/>
        <w:gridCol w:w="5387"/>
        <w:gridCol w:w="3118"/>
      </w:tblGrid>
      <w:tr w:rsidR="00546ED8" w:rsidRPr="00E056B6" w14:paraId="2002907F" w14:textId="77777777" w:rsidTr="00121EA9">
        <w:trPr>
          <w:trHeight w:val="730"/>
        </w:trPr>
        <w:tc>
          <w:tcPr>
            <w:tcW w:w="1696" w:type="dxa"/>
            <w:vAlign w:val="center"/>
          </w:tcPr>
          <w:p w14:paraId="3840443A" w14:textId="77777777" w:rsidR="00546ED8" w:rsidRPr="00E056B6" w:rsidRDefault="00546ED8" w:rsidP="0039791B">
            <w:pPr>
              <w:rPr>
                <w:sz w:val="24"/>
                <w:szCs w:val="24"/>
              </w:rPr>
            </w:pPr>
            <w:r w:rsidRPr="00E056B6">
              <w:rPr>
                <w:rFonts w:hint="eastAsia"/>
                <w:sz w:val="24"/>
                <w:szCs w:val="24"/>
              </w:rPr>
              <w:t>事業実施主体</w:t>
            </w:r>
          </w:p>
        </w:tc>
        <w:tc>
          <w:tcPr>
            <w:tcW w:w="1418" w:type="dxa"/>
            <w:vAlign w:val="center"/>
          </w:tcPr>
          <w:p w14:paraId="14862D61" w14:textId="77777777" w:rsidR="00546ED8" w:rsidRPr="00E056B6" w:rsidRDefault="00546ED8" w:rsidP="0039791B">
            <w:pPr>
              <w:rPr>
                <w:sz w:val="24"/>
                <w:szCs w:val="24"/>
              </w:rPr>
            </w:pPr>
            <w:r w:rsidRPr="00E056B6">
              <w:rPr>
                <w:rFonts w:hint="eastAsia"/>
                <w:sz w:val="24"/>
                <w:szCs w:val="24"/>
              </w:rPr>
              <w:t>区分</w:t>
            </w:r>
          </w:p>
        </w:tc>
        <w:tc>
          <w:tcPr>
            <w:tcW w:w="2268" w:type="dxa"/>
            <w:vAlign w:val="center"/>
          </w:tcPr>
          <w:p w14:paraId="7A87A093" w14:textId="77777777" w:rsidR="00546ED8" w:rsidRPr="00E056B6" w:rsidRDefault="00546ED8" w:rsidP="0039791B">
            <w:pPr>
              <w:rPr>
                <w:sz w:val="24"/>
                <w:szCs w:val="24"/>
              </w:rPr>
            </w:pPr>
            <w:r w:rsidRPr="00E056B6">
              <w:rPr>
                <w:rFonts w:hint="eastAsia"/>
                <w:sz w:val="24"/>
                <w:szCs w:val="24"/>
              </w:rPr>
              <w:t>支援内容</w:t>
            </w:r>
          </w:p>
        </w:tc>
        <w:tc>
          <w:tcPr>
            <w:tcW w:w="1984" w:type="dxa"/>
            <w:vAlign w:val="center"/>
          </w:tcPr>
          <w:p w14:paraId="34073D33" w14:textId="77777777" w:rsidR="00121EA9" w:rsidRDefault="00546ED8" w:rsidP="0039791B">
            <w:pPr>
              <w:rPr>
                <w:sz w:val="24"/>
                <w:szCs w:val="24"/>
              </w:rPr>
            </w:pPr>
            <w:r w:rsidRPr="00E056B6">
              <w:rPr>
                <w:rFonts w:hint="eastAsia"/>
                <w:sz w:val="24"/>
                <w:szCs w:val="24"/>
              </w:rPr>
              <w:t>補助率</w:t>
            </w:r>
          </w:p>
          <w:p w14:paraId="603C2EC7" w14:textId="26736570" w:rsidR="00546ED8" w:rsidRPr="00E056B6" w:rsidRDefault="00546ED8" w:rsidP="0039791B">
            <w:pPr>
              <w:rPr>
                <w:sz w:val="24"/>
                <w:szCs w:val="24"/>
              </w:rPr>
            </w:pPr>
            <w:r w:rsidRPr="00E056B6">
              <w:rPr>
                <w:rFonts w:hint="eastAsia"/>
                <w:sz w:val="24"/>
                <w:szCs w:val="24"/>
              </w:rPr>
              <w:t>（補助上限額）</w:t>
            </w:r>
          </w:p>
        </w:tc>
        <w:tc>
          <w:tcPr>
            <w:tcW w:w="5387" w:type="dxa"/>
          </w:tcPr>
          <w:p w14:paraId="6D412E96" w14:textId="03AAA8BF" w:rsidR="00546ED8" w:rsidRPr="00E056B6" w:rsidRDefault="00546ED8" w:rsidP="0039791B">
            <w:pPr>
              <w:rPr>
                <w:sz w:val="24"/>
                <w:szCs w:val="24"/>
              </w:rPr>
            </w:pPr>
            <w:r>
              <w:rPr>
                <w:rFonts w:hint="eastAsia"/>
                <w:sz w:val="24"/>
                <w:szCs w:val="24"/>
              </w:rPr>
              <w:t>採択枠</w:t>
            </w:r>
          </w:p>
        </w:tc>
        <w:tc>
          <w:tcPr>
            <w:tcW w:w="3118" w:type="dxa"/>
            <w:vAlign w:val="center"/>
          </w:tcPr>
          <w:p w14:paraId="7FDB6D71" w14:textId="67CE37D7" w:rsidR="00546ED8" w:rsidRPr="00E056B6" w:rsidRDefault="00546ED8" w:rsidP="0039791B">
            <w:pPr>
              <w:rPr>
                <w:sz w:val="24"/>
                <w:szCs w:val="24"/>
              </w:rPr>
            </w:pPr>
            <w:r w:rsidRPr="00E056B6">
              <w:rPr>
                <w:rFonts w:hint="eastAsia"/>
                <w:sz w:val="24"/>
                <w:szCs w:val="24"/>
              </w:rPr>
              <w:t>経費</w:t>
            </w:r>
          </w:p>
        </w:tc>
      </w:tr>
      <w:tr w:rsidR="00546ED8" w:rsidRPr="00E056B6" w14:paraId="1BDCFA7E" w14:textId="77777777" w:rsidTr="00121EA9">
        <w:tc>
          <w:tcPr>
            <w:tcW w:w="1696" w:type="dxa"/>
          </w:tcPr>
          <w:p w14:paraId="1D6E2923" w14:textId="77777777" w:rsidR="00546ED8" w:rsidRPr="00E056B6" w:rsidRDefault="00546ED8" w:rsidP="0039791B">
            <w:pPr>
              <w:rPr>
                <w:sz w:val="24"/>
                <w:szCs w:val="24"/>
              </w:rPr>
            </w:pPr>
            <w:r w:rsidRPr="00E056B6">
              <w:rPr>
                <w:rFonts w:hint="eastAsia"/>
                <w:sz w:val="24"/>
                <w:szCs w:val="24"/>
              </w:rPr>
              <w:t>認定農業者または農業者が組織する団体</w:t>
            </w:r>
          </w:p>
        </w:tc>
        <w:tc>
          <w:tcPr>
            <w:tcW w:w="1418" w:type="dxa"/>
          </w:tcPr>
          <w:p w14:paraId="262CE4C1" w14:textId="77777777" w:rsidR="00546ED8" w:rsidRPr="00E056B6" w:rsidRDefault="00546ED8" w:rsidP="0039791B">
            <w:pPr>
              <w:rPr>
                <w:sz w:val="24"/>
                <w:szCs w:val="24"/>
              </w:rPr>
            </w:pPr>
            <w:bookmarkStart w:id="0" w:name="_Hlk216274263"/>
            <w:r w:rsidRPr="00E056B6">
              <w:rPr>
                <w:rFonts w:hint="eastAsia"/>
                <w:sz w:val="24"/>
                <w:szCs w:val="24"/>
              </w:rPr>
              <w:t>１　国内資源由来肥料転換モデル支援事業</w:t>
            </w:r>
            <w:bookmarkEnd w:id="0"/>
          </w:p>
        </w:tc>
        <w:tc>
          <w:tcPr>
            <w:tcW w:w="2268" w:type="dxa"/>
          </w:tcPr>
          <w:p w14:paraId="23508D11" w14:textId="77777777" w:rsidR="00546ED8" w:rsidRPr="00E056B6" w:rsidRDefault="00546ED8" w:rsidP="0039791B">
            <w:pPr>
              <w:rPr>
                <w:sz w:val="24"/>
                <w:szCs w:val="24"/>
              </w:rPr>
            </w:pPr>
            <w:r w:rsidRPr="00E056B6">
              <w:rPr>
                <w:rFonts w:hint="eastAsia"/>
                <w:sz w:val="24"/>
                <w:szCs w:val="24"/>
              </w:rPr>
              <w:t>国内資源由来肥料活用の実証に必要な経費の一部を支援</w:t>
            </w:r>
          </w:p>
        </w:tc>
        <w:tc>
          <w:tcPr>
            <w:tcW w:w="1984" w:type="dxa"/>
          </w:tcPr>
          <w:p w14:paraId="4335BFE9" w14:textId="77777777" w:rsidR="00546ED8" w:rsidRDefault="00546ED8" w:rsidP="0039791B">
            <w:pPr>
              <w:rPr>
                <w:sz w:val="24"/>
                <w:szCs w:val="24"/>
              </w:rPr>
            </w:pPr>
            <w:r w:rsidRPr="00E056B6">
              <w:rPr>
                <w:rFonts w:hint="eastAsia"/>
                <w:sz w:val="24"/>
                <w:szCs w:val="24"/>
              </w:rPr>
              <w:t>定額</w:t>
            </w:r>
          </w:p>
          <w:p w14:paraId="64408D8E" w14:textId="2BC7AD01" w:rsidR="00890090" w:rsidRPr="00E056B6" w:rsidRDefault="00890090" w:rsidP="0039791B">
            <w:pPr>
              <w:rPr>
                <w:sz w:val="24"/>
                <w:szCs w:val="24"/>
              </w:rPr>
            </w:pPr>
            <w:r>
              <w:rPr>
                <w:rFonts w:hint="eastAsia"/>
                <w:sz w:val="24"/>
                <w:szCs w:val="24"/>
              </w:rPr>
              <w:t>（一事業者あたり</w:t>
            </w:r>
            <w:r>
              <w:rPr>
                <w:rFonts w:hint="eastAsia"/>
                <w:sz w:val="24"/>
                <w:szCs w:val="24"/>
              </w:rPr>
              <w:t>22</w:t>
            </w:r>
            <w:r>
              <w:rPr>
                <w:rFonts w:hint="eastAsia"/>
                <w:sz w:val="24"/>
                <w:szCs w:val="24"/>
              </w:rPr>
              <w:t>万円以内）</w:t>
            </w:r>
          </w:p>
        </w:tc>
        <w:tc>
          <w:tcPr>
            <w:tcW w:w="5387" w:type="dxa"/>
          </w:tcPr>
          <w:p w14:paraId="0EADDE7E" w14:textId="77777777" w:rsidR="00546ED8" w:rsidRDefault="00546ED8" w:rsidP="0039791B">
            <w:pPr>
              <w:rPr>
                <w:sz w:val="24"/>
                <w:szCs w:val="24"/>
              </w:rPr>
            </w:pPr>
            <w:r>
              <w:rPr>
                <w:rFonts w:hint="eastAsia"/>
                <w:sz w:val="24"/>
                <w:szCs w:val="24"/>
              </w:rPr>
              <w:t>土地利用型作物×１、野菜×１、果樹×１</w:t>
            </w:r>
          </w:p>
          <w:p w14:paraId="28F74BBC" w14:textId="77777777" w:rsidR="00546ED8" w:rsidRDefault="00546ED8" w:rsidP="0039791B">
            <w:pPr>
              <w:rPr>
                <w:sz w:val="24"/>
                <w:szCs w:val="24"/>
              </w:rPr>
            </w:pPr>
            <w:r>
              <w:rPr>
                <w:rFonts w:hint="eastAsia"/>
                <w:sz w:val="24"/>
                <w:szCs w:val="24"/>
              </w:rPr>
              <w:t>（</w:t>
            </w:r>
            <w:r w:rsidR="008A5BCC">
              <w:rPr>
                <w:rFonts w:hint="eastAsia"/>
                <w:sz w:val="24"/>
                <w:szCs w:val="24"/>
              </w:rPr>
              <w:t>枠数は要望の有無に応じて変動</w:t>
            </w:r>
            <w:r>
              <w:rPr>
                <w:rFonts w:hint="eastAsia"/>
                <w:sz w:val="24"/>
                <w:szCs w:val="24"/>
              </w:rPr>
              <w:t>）</w:t>
            </w:r>
          </w:p>
          <w:p w14:paraId="708419DD" w14:textId="0A400A7B" w:rsidR="0039791B" w:rsidRPr="00E056B6" w:rsidRDefault="0039791B" w:rsidP="0039791B">
            <w:pPr>
              <w:rPr>
                <w:sz w:val="24"/>
                <w:szCs w:val="24"/>
              </w:rPr>
            </w:pPr>
            <w:r>
              <w:rPr>
                <w:rFonts w:hint="eastAsia"/>
                <w:sz w:val="24"/>
                <w:szCs w:val="24"/>
              </w:rPr>
              <w:t>なお、ポイントが同率の場合は、取組面積の大きい事業者を選択する。</w:t>
            </w:r>
          </w:p>
        </w:tc>
        <w:tc>
          <w:tcPr>
            <w:tcW w:w="3118" w:type="dxa"/>
          </w:tcPr>
          <w:p w14:paraId="1B836C43" w14:textId="78A51784" w:rsidR="00546ED8" w:rsidRPr="00E056B6" w:rsidRDefault="00546ED8" w:rsidP="0039791B">
            <w:pPr>
              <w:rPr>
                <w:sz w:val="24"/>
                <w:szCs w:val="24"/>
              </w:rPr>
            </w:pPr>
            <w:r w:rsidRPr="00E056B6">
              <w:rPr>
                <w:rFonts w:hint="eastAsia"/>
                <w:sz w:val="24"/>
                <w:szCs w:val="24"/>
              </w:rPr>
              <w:t>補助対象経費は、事業実施主体が、国内資源由来肥料活用の実証に必要な経費とする。</w:t>
            </w:r>
          </w:p>
        </w:tc>
      </w:tr>
      <w:tr w:rsidR="00546ED8" w:rsidRPr="00E056B6" w14:paraId="59353EDB" w14:textId="77777777" w:rsidTr="00121EA9">
        <w:trPr>
          <w:trHeight w:val="1841"/>
        </w:trPr>
        <w:tc>
          <w:tcPr>
            <w:tcW w:w="1696" w:type="dxa"/>
          </w:tcPr>
          <w:p w14:paraId="07827770" w14:textId="77777777" w:rsidR="00546ED8" w:rsidRPr="00E056B6" w:rsidRDefault="00546ED8" w:rsidP="0039791B">
            <w:pPr>
              <w:rPr>
                <w:sz w:val="24"/>
                <w:szCs w:val="24"/>
              </w:rPr>
            </w:pPr>
            <w:r w:rsidRPr="00E056B6">
              <w:rPr>
                <w:rFonts w:hint="eastAsia"/>
                <w:sz w:val="24"/>
                <w:szCs w:val="24"/>
              </w:rPr>
              <w:t>認定農業者または農業者が組織する団体</w:t>
            </w:r>
          </w:p>
        </w:tc>
        <w:tc>
          <w:tcPr>
            <w:tcW w:w="1418" w:type="dxa"/>
          </w:tcPr>
          <w:p w14:paraId="332CB7FD" w14:textId="460445BC" w:rsidR="00A56A35" w:rsidRPr="00A56A35" w:rsidRDefault="00546ED8" w:rsidP="0039791B">
            <w:pPr>
              <w:rPr>
                <w:sz w:val="24"/>
                <w:szCs w:val="24"/>
              </w:rPr>
            </w:pPr>
            <w:r w:rsidRPr="00E056B6">
              <w:rPr>
                <w:rFonts w:hint="eastAsia"/>
                <w:sz w:val="24"/>
                <w:szCs w:val="24"/>
              </w:rPr>
              <w:t>２　国内資源由来肥料転換推進整備事業</w:t>
            </w:r>
          </w:p>
        </w:tc>
        <w:tc>
          <w:tcPr>
            <w:tcW w:w="2268" w:type="dxa"/>
          </w:tcPr>
          <w:p w14:paraId="559B3682" w14:textId="77777777" w:rsidR="00546ED8" w:rsidRPr="00E056B6" w:rsidRDefault="00546ED8" w:rsidP="0039791B">
            <w:pPr>
              <w:rPr>
                <w:sz w:val="24"/>
                <w:szCs w:val="24"/>
              </w:rPr>
            </w:pPr>
            <w:r w:rsidRPr="00E056B6">
              <w:rPr>
                <w:rFonts w:hint="eastAsia"/>
                <w:sz w:val="24"/>
                <w:szCs w:val="24"/>
              </w:rPr>
              <w:t>国内資源由来肥料の活用に必要な機械の導入に必要な経費の一部を支援</w:t>
            </w:r>
          </w:p>
        </w:tc>
        <w:tc>
          <w:tcPr>
            <w:tcW w:w="1984" w:type="dxa"/>
          </w:tcPr>
          <w:p w14:paraId="3E86EBA6" w14:textId="77777777" w:rsidR="00546ED8" w:rsidRPr="00E056B6" w:rsidRDefault="00546ED8" w:rsidP="0039791B">
            <w:pPr>
              <w:rPr>
                <w:sz w:val="24"/>
                <w:szCs w:val="24"/>
              </w:rPr>
            </w:pPr>
            <w:r w:rsidRPr="00E056B6">
              <w:rPr>
                <w:rFonts w:hint="eastAsia"/>
                <w:sz w:val="24"/>
                <w:szCs w:val="24"/>
              </w:rPr>
              <w:t>２分の１以内</w:t>
            </w:r>
          </w:p>
          <w:p w14:paraId="590B11A6" w14:textId="6403E23C" w:rsidR="00546ED8" w:rsidRPr="00E056B6" w:rsidRDefault="00546ED8" w:rsidP="0039791B">
            <w:pPr>
              <w:rPr>
                <w:sz w:val="24"/>
                <w:szCs w:val="24"/>
              </w:rPr>
            </w:pPr>
            <w:r>
              <w:rPr>
                <w:rFonts w:hint="eastAsia"/>
                <w:sz w:val="24"/>
                <w:szCs w:val="24"/>
              </w:rPr>
              <w:t>（</w:t>
            </w:r>
            <w:r w:rsidRPr="00E056B6">
              <w:rPr>
                <w:rFonts w:hint="eastAsia"/>
                <w:sz w:val="24"/>
                <w:szCs w:val="24"/>
              </w:rPr>
              <w:t>一事業者あた</w:t>
            </w:r>
            <w:r w:rsidR="00890090">
              <w:rPr>
                <w:rFonts w:hint="eastAsia"/>
                <w:sz w:val="24"/>
                <w:szCs w:val="24"/>
              </w:rPr>
              <w:t>り</w:t>
            </w:r>
            <w:r w:rsidRPr="00E056B6">
              <w:rPr>
                <w:rFonts w:hint="eastAsia"/>
                <w:sz w:val="24"/>
                <w:szCs w:val="24"/>
              </w:rPr>
              <w:t>300</w:t>
            </w:r>
            <w:r w:rsidRPr="00E056B6">
              <w:rPr>
                <w:rFonts w:hint="eastAsia"/>
                <w:sz w:val="24"/>
                <w:szCs w:val="24"/>
              </w:rPr>
              <w:t>万円以内</w:t>
            </w:r>
            <w:r>
              <w:rPr>
                <w:rFonts w:hint="eastAsia"/>
                <w:sz w:val="24"/>
                <w:szCs w:val="24"/>
              </w:rPr>
              <w:t>）</w:t>
            </w:r>
          </w:p>
        </w:tc>
        <w:tc>
          <w:tcPr>
            <w:tcW w:w="5387" w:type="dxa"/>
          </w:tcPr>
          <w:p w14:paraId="619D9A5E" w14:textId="7D8F5ABF" w:rsidR="00546ED8" w:rsidRPr="00546ED8" w:rsidRDefault="00546ED8" w:rsidP="0039791B">
            <w:pPr>
              <w:rPr>
                <w:sz w:val="24"/>
                <w:szCs w:val="24"/>
              </w:rPr>
            </w:pPr>
            <w:r w:rsidRPr="00546ED8">
              <w:rPr>
                <w:rFonts w:hint="eastAsia"/>
                <w:sz w:val="24"/>
                <w:szCs w:val="24"/>
              </w:rPr>
              <w:t>土地利用型作物×</w:t>
            </w:r>
            <w:r>
              <w:rPr>
                <w:rFonts w:hint="eastAsia"/>
                <w:sz w:val="24"/>
                <w:szCs w:val="24"/>
              </w:rPr>
              <w:t>３</w:t>
            </w:r>
            <w:r w:rsidRPr="00546ED8">
              <w:rPr>
                <w:rFonts w:hint="eastAsia"/>
                <w:sz w:val="24"/>
                <w:szCs w:val="24"/>
              </w:rPr>
              <w:t>、野菜×</w:t>
            </w:r>
            <w:r>
              <w:rPr>
                <w:rFonts w:hint="eastAsia"/>
                <w:sz w:val="24"/>
                <w:szCs w:val="24"/>
              </w:rPr>
              <w:t>２</w:t>
            </w:r>
            <w:r w:rsidRPr="00546ED8">
              <w:rPr>
                <w:rFonts w:hint="eastAsia"/>
                <w:sz w:val="24"/>
                <w:szCs w:val="24"/>
              </w:rPr>
              <w:t>、果樹×</w:t>
            </w:r>
            <w:r>
              <w:rPr>
                <w:rFonts w:hint="eastAsia"/>
                <w:sz w:val="24"/>
                <w:szCs w:val="24"/>
              </w:rPr>
              <w:t>２</w:t>
            </w:r>
          </w:p>
          <w:p w14:paraId="450F8D35" w14:textId="77777777" w:rsidR="00A56A35" w:rsidRDefault="00546ED8" w:rsidP="0039791B">
            <w:pPr>
              <w:rPr>
                <w:sz w:val="24"/>
                <w:szCs w:val="24"/>
              </w:rPr>
            </w:pPr>
            <w:r w:rsidRPr="00546ED8">
              <w:rPr>
                <w:sz w:val="24"/>
                <w:szCs w:val="24"/>
              </w:rPr>
              <w:t>（</w:t>
            </w:r>
            <w:r w:rsidR="008A5BCC">
              <w:rPr>
                <w:rFonts w:hint="eastAsia"/>
                <w:sz w:val="24"/>
                <w:szCs w:val="24"/>
              </w:rPr>
              <w:t>枠数は要望の有無に応じて変動</w:t>
            </w:r>
            <w:r w:rsidRPr="00546ED8">
              <w:rPr>
                <w:rFonts w:hint="eastAsia"/>
                <w:sz w:val="24"/>
                <w:szCs w:val="24"/>
              </w:rPr>
              <w:t>）</w:t>
            </w:r>
          </w:p>
          <w:p w14:paraId="544844C8" w14:textId="50D4243E" w:rsidR="0039791B" w:rsidRPr="00A56A35" w:rsidRDefault="0039791B" w:rsidP="0039791B">
            <w:pPr>
              <w:rPr>
                <w:sz w:val="24"/>
                <w:szCs w:val="24"/>
              </w:rPr>
            </w:pPr>
            <w:r>
              <w:rPr>
                <w:rFonts w:hint="eastAsia"/>
                <w:sz w:val="24"/>
                <w:szCs w:val="24"/>
              </w:rPr>
              <w:t>なお、ポイントが同率の場合は、①取組増加面積、②施肥コスト削減率、③化学肥料削減率の順に、目標値ポイントの高い事業者を選定する。</w:t>
            </w:r>
          </w:p>
        </w:tc>
        <w:tc>
          <w:tcPr>
            <w:tcW w:w="3118" w:type="dxa"/>
          </w:tcPr>
          <w:p w14:paraId="18B0FF0C" w14:textId="16E11751" w:rsidR="00546ED8" w:rsidRPr="00E056B6" w:rsidRDefault="00546ED8" w:rsidP="0039791B">
            <w:pPr>
              <w:rPr>
                <w:sz w:val="24"/>
                <w:szCs w:val="24"/>
              </w:rPr>
            </w:pPr>
            <w:r w:rsidRPr="00E056B6">
              <w:rPr>
                <w:rFonts w:hint="eastAsia"/>
                <w:sz w:val="24"/>
                <w:szCs w:val="24"/>
              </w:rPr>
              <w:t>国内資源由来肥料の活用に必要な機械の導入に必要な経費</w:t>
            </w:r>
          </w:p>
        </w:tc>
      </w:tr>
    </w:tbl>
    <w:p w14:paraId="0D121804" w14:textId="77777777" w:rsidR="0039791B" w:rsidRDefault="0039791B" w:rsidP="00E70D32">
      <w:pPr>
        <w:rPr>
          <w:sz w:val="24"/>
          <w:szCs w:val="24"/>
        </w:rPr>
      </w:pPr>
    </w:p>
    <w:p w14:paraId="5EE6BCA3" w14:textId="54DFA02A" w:rsidR="001724F7" w:rsidRDefault="00E70D32" w:rsidP="00E70D32">
      <w:pPr>
        <w:rPr>
          <w:sz w:val="24"/>
          <w:szCs w:val="24"/>
        </w:rPr>
      </w:pPr>
      <w:r w:rsidRPr="00B307D2">
        <w:rPr>
          <w:rFonts w:hint="eastAsia"/>
          <w:sz w:val="24"/>
          <w:szCs w:val="24"/>
        </w:rPr>
        <w:t>注）</w:t>
      </w:r>
    </w:p>
    <w:p w14:paraId="2F14AF6A" w14:textId="0EA9F530" w:rsidR="00AF3762" w:rsidRDefault="00AD5DC3" w:rsidP="00E70D32">
      <w:pPr>
        <w:rPr>
          <w:sz w:val="24"/>
          <w:szCs w:val="24"/>
        </w:rPr>
      </w:pPr>
      <w:r>
        <w:rPr>
          <w:rFonts w:hint="eastAsia"/>
          <w:sz w:val="24"/>
          <w:szCs w:val="24"/>
        </w:rPr>
        <w:t>・申請の際には、申請区分（</w:t>
      </w:r>
      <w:r w:rsidRPr="00AD5DC3">
        <w:rPr>
          <w:rFonts w:hint="eastAsia"/>
          <w:sz w:val="24"/>
          <w:szCs w:val="24"/>
        </w:rPr>
        <w:t>土地利用型作物、野菜、果樹</w:t>
      </w:r>
      <w:r>
        <w:rPr>
          <w:rFonts w:hint="eastAsia"/>
          <w:sz w:val="24"/>
          <w:szCs w:val="24"/>
        </w:rPr>
        <w:t>）のうちいずれかを選択するものとする。</w:t>
      </w:r>
      <w:r w:rsidR="00540AFD">
        <w:rPr>
          <w:rFonts w:hint="eastAsia"/>
          <w:sz w:val="24"/>
          <w:szCs w:val="24"/>
        </w:rPr>
        <w:t>また、</w:t>
      </w:r>
      <w:r>
        <w:rPr>
          <w:rFonts w:hint="eastAsia"/>
          <w:sz w:val="24"/>
          <w:szCs w:val="24"/>
        </w:rPr>
        <w:t>各申請区分で、品目については</w:t>
      </w:r>
      <w:r w:rsidR="00540AFD">
        <w:rPr>
          <w:rFonts w:hint="eastAsia"/>
          <w:sz w:val="24"/>
          <w:szCs w:val="24"/>
        </w:rPr>
        <w:t>１品目選択し</w:t>
      </w:r>
      <w:r>
        <w:rPr>
          <w:rFonts w:hint="eastAsia"/>
          <w:sz w:val="24"/>
          <w:szCs w:val="24"/>
        </w:rPr>
        <w:t>、</w:t>
      </w:r>
      <w:r w:rsidR="00540AFD" w:rsidRPr="00540AFD">
        <w:rPr>
          <w:rFonts w:hint="eastAsia"/>
          <w:sz w:val="24"/>
          <w:szCs w:val="24"/>
        </w:rPr>
        <w:t>品種・作型</w:t>
      </w:r>
      <w:r w:rsidR="00540AFD">
        <w:rPr>
          <w:rFonts w:hint="eastAsia"/>
          <w:sz w:val="24"/>
          <w:szCs w:val="24"/>
        </w:rPr>
        <w:t>は</w:t>
      </w:r>
      <w:r>
        <w:rPr>
          <w:rFonts w:hint="eastAsia"/>
          <w:sz w:val="24"/>
          <w:szCs w:val="24"/>
        </w:rPr>
        <w:t>複数選択可能とする。</w:t>
      </w:r>
    </w:p>
    <w:p w14:paraId="2FECD8A7" w14:textId="7BBCF650" w:rsidR="00AF3762" w:rsidRPr="00AD5DC3" w:rsidRDefault="00AF3762" w:rsidP="00AF3762">
      <w:pPr>
        <w:ind w:firstLineChars="100" w:firstLine="240"/>
        <w:rPr>
          <w:rFonts w:hint="eastAsia"/>
          <w:sz w:val="24"/>
          <w:szCs w:val="24"/>
        </w:rPr>
      </w:pPr>
      <w:r>
        <w:rPr>
          <w:rFonts w:hint="eastAsia"/>
          <w:sz w:val="24"/>
          <w:szCs w:val="24"/>
        </w:rPr>
        <w:t>なお、花</w:t>
      </w:r>
      <w:r w:rsidR="00D24202">
        <w:rPr>
          <w:rFonts w:hint="eastAsia"/>
          <w:sz w:val="24"/>
          <w:szCs w:val="24"/>
        </w:rPr>
        <w:t>き</w:t>
      </w:r>
      <w:r w:rsidR="008F30B0">
        <w:rPr>
          <w:rFonts w:hint="eastAsia"/>
          <w:sz w:val="24"/>
          <w:szCs w:val="24"/>
        </w:rPr>
        <w:t>・花木</w:t>
      </w:r>
      <w:r>
        <w:rPr>
          <w:rFonts w:hint="eastAsia"/>
          <w:sz w:val="24"/>
          <w:szCs w:val="24"/>
        </w:rPr>
        <w:t>については、慣行基準がないため対象外とする。また、茶については、他事業と重複するため対象外とする。</w:t>
      </w:r>
    </w:p>
    <w:p w14:paraId="399A919E" w14:textId="77777777" w:rsidR="00E70D32" w:rsidRDefault="00E70D32" w:rsidP="00E70D32">
      <w:pPr>
        <w:rPr>
          <w:sz w:val="24"/>
          <w:szCs w:val="24"/>
        </w:rPr>
      </w:pPr>
      <w:r w:rsidRPr="00B307D2">
        <w:rPr>
          <w:sz w:val="24"/>
          <w:szCs w:val="24"/>
        </w:rPr>
        <w:t>・事業費の削減を図るため、見積り合わせ（該当する施設及び器具について１社しか扱っていない場合を除き、複数社（原則３社以上）から</w:t>
      </w:r>
      <w:r w:rsidRPr="00B307D2">
        <w:rPr>
          <w:sz w:val="24"/>
          <w:szCs w:val="24"/>
        </w:rPr>
        <w:t xml:space="preserve"> </w:t>
      </w:r>
      <w:r w:rsidRPr="00B307D2">
        <w:rPr>
          <w:sz w:val="24"/>
          <w:szCs w:val="24"/>
        </w:rPr>
        <w:t>見積りを取得すること）を行うこと。</w:t>
      </w:r>
      <w:r w:rsidRPr="00B307D2">
        <w:rPr>
          <w:sz w:val="24"/>
          <w:szCs w:val="24"/>
        </w:rPr>
        <w:t xml:space="preserve"> </w:t>
      </w:r>
    </w:p>
    <w:p w14:paraId="6884BBBB" w14:textId="6ECE4456" w:rsidR="001724F7" w:rsidRPr="00B307D2" w:rsidRDefault="001724F7" w:rsidP="00E70D32">
      <w:pPr>
        <w:rPr>
          <w:sz w:val="24"/>
          <w:szCs w:val="24"/>
        </w:rPr>
      </w:pPr>
      <w:r>
        <w:rPr>
          <w:rFonts w:hint="eastAsia"/>
          <w:sz w:val="24"/>
          <w:szCs w:val="24"/>
        </w:rPr>
        <w:t>・機械導入の場合は、事業実施期間中の事業継続ができるよう、処置を講ずるものとする。</w:t>
      </w:r>
    </w:p>
    <w:p w14:paraId="79D12CBE" w14:textId="77777777" w:rsidR="00E70D32" w:rsidRPr="00B307D2" w:rsidRDefault="00E70D32" w:rsidP="00E70D32">
      <w:pPr>
        <w:rPr>
          <w:sz w:val="24"/>
          <w:szCs w:val="24"/>
        </w:rPr>
      </w:pPr>
      <w:r w:rsidRPr="00B307D2">
        <w:rPr>
          <w:sz w:val="24"/>
          <w:szCs w:val="24"/>
        </w:rPr>
        <w:t>・新品であること。</w:t>
      </w:r>
    </w:p>
    <w:p w14:paraId="68AE66C3" w14:textId="77777777" w:rsidR="00E70D32" w:rsidRPr="00B307D2" w:rsidRDefault="00E70D32" w:rsidP="00E70D32">
      <w:pPr>
        <w:rPr>
          <w:sz w:val="24"/>
          <w:szCs w:val="24"/>
        </w:rPr>
      </w:pPr>
      <w:r w:rsidRPr="00B307D2">
        <w:rPr>
          <w:sz w:val="24"/>
          <w:szCs w:val="24"/>
        </w:rPr>
        <w:t>・事業の開始日は、交付決定日（又は交付決定前着手届提出日）以降とする。</w:t>
      </w:r>
    </w:p>
    <w:p w14:paraId="05A93CDB" w14:textId="77777777" w:rsidR="00E70D32" w:rsidRPr="00B307D2" w:rsidRDefault="00E70D32" w:rsidP="00E70D32">
      <w:pPr>
        <w:rPr>
          <w:sz w:val="24"/>
          <w:szCs w:val="24"/>
        </w:rPr>
      </w:pPr>
      <w:r w:rsidRPr="00B307D2">
        <w:rPr>
          <w:sz w:val="24"/>
          <w:szCs w:val="24"/>
        </w:rPr>
        <w:t>・以下経費は補助対象から除く</w:t>
      </w:r>
    </w:p>
    <w:p w14:paraId="48905442" w14:textId="77777777" w:rsidR="00E70D32" w:rsidRPr="00B307D2" w:rsidRDefault="00E70D32" w:rsidP="00E70D32">
      <w:pPr>
        <w:rPr>
          <w:sz w:val="24"/>
          <w:szCs w:val="24"/>
        </w:rPr>
      </w:pPr>
      <w:r w:rsidRPr="00B307D2">
        <w:rPr>
          <w:sz w:val="24"/>
          <w:szCs w:val="24"/>
        </w:rPr>
        <w:t>（１）補助金交付決定日前、又は事業期間終了後に発注、購入、契約、納品されたもの</w:t>
      </w:r>
    </w:p>
    <w:p w14:paraId="63FD3261" w14:textId="77777777" w:rsidR="00E70D32" w:rsidRPr="00B307D2" w:rsidRDefault="00E70D32" w:rsidP="00E70D32">
      <w:pPr>
        <w:rPr>
          <w:sz w:val="24"/>
          <w:szCs w:val="24"/>
        </w:rPr>
      </w:pPr>
      <w:r w:rsidRPr="00B307D2">
        <w:rPr>
          <w:sz w:val="24"/>
          <w:szCs w:val="24"/>
        </w:rPr>
        <w:t>（２）汎用性の高い物品（パソコン、通信機器、車両等）、消耗品、飲食接待費、租税公課（消費税）、振込手数料</w:t>
      </w:r>
      <w:r w:rsidRPr="00B307D2">
        <w:rPr>
          <w:rFonts w:hint="eastAsia"/>
          <w:sz w:val="24"/>
          <w:szCs w:val="24"/>
        </w:rPr>
        <w:t xml:space="preserve">　</w:t>
      </w:r>
      <w:r w:rsidRPr="00B307D2">
        <w:rPr>
          <w:sz w:val="24"/>
          <w:szCs w:val="24"/>
        </w:rPr>
        <w:t>等</w:t>
      </w:r>
    </w:p>
    <w:p w14:paraId="03829B3E" w14:textId="77777777" w:rsidR="00E70D32" w:rsidRPr="00B307D2" w:rsidRDefault="00E70D32" w:rsidP="00E70D32">
      <w:pPr>
        <w:rPr>
          <w:sz w:val="24"/>
          <w:szCs w:val="24"/>
        </w:rPr>
      </w:pPr>
      <w:r w:rsidRPr="00B307D2">
        <w:rPr>
          <w:sz w:val="24"/>
          <w:szCs w:val="24"/>
        </w:rPr>
        <w:t>（</w:t>
      </w:r>
      <w:r w:rsidRPr="00B307D2">
        <w:rPr>
          <w:rFonts w:hint="eastAsia"/>
          <w:sz w:val="24"/>
          <w:szCs w:val="24"/>
        </w:rPr>
        <w:t>３</w:t>
      </w:r>
      <w:r w:rsidRPr="00B307D2">
        <w:rPr>
          <w:sz w:val="24"/>
          <w:szCs w:val="24"/>
        </w:rPr>
        <w:t>）人件費</w:t>
      </w:r>
    </w:p>
    <w:p w14:paraId="448A517F" w14:textId="77777777" w:rsidR="00E70D32" w:rsidRPr="00B307D2" w:rsidRDefault="00E70D32" w:rsidP="00E70D32">
      <w:pPr>
        <w:rPr>
          <w:sz w:val="24"/>
          <w:szCs w:val="24"/>
        </w:rPr>
      </w:pPr>
      <w:r w:rsidRPr="00B307D2">
        <w:rPr>
          <w:sz w:val="24"/>
          <w:szCs w:val="24"/>
        </w:rPr>
        <w:lastRenderedPageBreak/>
        <w:t>（</w:t>
      </w:r>
      <w:r w:rsidRPr="00B307D2">
        <w:rPr>
          <w:rFonts w:hint="eastAsia"/>
          <w:sz w:val="24"/>
          <w:szCs w:val="24"/>
        </w:rPr>
        <w:t>４</w:t>
      </w:r>
      <w:r w:rsidRPr="00B307D2">
        <w:rPr>
          <w:sz w:val="24"/>
          <w:szCs w:val="24"/>
        </w:rPr>
        <w:t>）事業の期間中に発生した事故または災害処理のための経費</w:t>
      </w:r>
    </w:p>
    <w:p w14:paraId="096542EA" w14:textId="77777777" w:rsidR="00E70D32" w:rsidRPr="00B307D2" w:rsidRDefault="00E70D32" w:rsidP="00E70D32">
      <w:pPr>
        <w:rPr>
          <w:sz w:val="24"/>
          <w:szCs w:val="24"/>
        </w:rPr>
      </w:pPr>
      <w:r w:rsidRPr="00B307D2">
        <w:rPr>
          <w:sz w:val="24"/>
          <w:szCs w:val="24"/>
        </w:rPr>
        <w:t>（</w:t>
      </w:r>
      <w:r w:rsidRPr="00B307D2">
        <w:rPr>
          <w:rFonts w:hint="eastAsia"/>
          <w:sz w:val="24"/>
          <w:szCs w:val="24"/>
        </w:rPr>
        <w:t>５</w:t>
      </w:r>
      <w:r w:rsidRPr="00B307D2">
        <w:rPr>
          <w:sz w:val="24"/>
          <w:szCs w:val="24"/>
        </w:rPr>
        <w:t>）損失補填、貸付金・保証金、基金の積立金</w:t>
      </w:r>
    </w:p>
    <w:p w14:paraId="0CC4D351" w14:textId="77777777" w:rsidR="00E70D32" w:rsidRPr="00B307D2" w:rsidRDefault="00E70D32" w:rsidP="00E70D32">
      <w:pPr>
        <w:rPr>
          <w:sz w:val="24"/>
          <w:szCs w:val="24"/>
        </w:rPr>
      </w:pPr>
      <w:r w:rsidRPr="00B307D2">
        <w:rPr>
          <w:sz w:val="24"/>
          <w:szCs w:val="24"/>
        </w:rPr>
        <w:t>（</w:t>
      </w:r>
      <w:r w:rsidRPr="00B307D2">
        <w:rPr>
          <w:rFonts w:hint="eastAsia"/>
          <w:sz w:val="24"/>
          <w:szCs w:val="24"/>
        </w:rPr>
        <w:t>６</w:t>
      </w:r>
      <w:r w:rsidRPr="00B307D2">
        <w:rPr>
          <w:sz w:val="24"/>
          <w:szCs w:val="24"/>
        </w:rPr>
        <w:t>）事業を実施する上で必要とは認められない経費及び事業実施に要した経費であることを証明できない経費</w:t>
      </w:r>
    </w:p>
    <w:p w14:paraId="75EB88C3" w14:textId="77777777" w:rsidR="00E70D32" w:rsidRPr="00B307D2" w:rsidRDefault="00E70D32" w:rsidP="00E70D32">
      <w:pPr>
        <w:rPr>
          <w:sz w:val="24"/>
          <w:szCs w:val="24"/>
        </w:rPr>
      </w:pPr>
      <w:r w:rsidRPr="00B307D2">
        <w:rPr>
          <w:sz w:val="24"/>
          <w:szCs w:val="24"/>
        </w:rPr>
        <w:t>（</w:t>
      </w:r>
      <w:r w:rsidRPr="00B307D2">
        <w:rPr>
          <w:rFonts w:hint="eastAsia"/>
          <w:sz w:val="24"/>
          <w:szCs w:val="24"/>
        </w:rPr>
        <w:t>７</w:t>
      </w:r>
      <w:r w:rsidRPr="00B307D2">
        <w:rPr>
          <w:sz w:val="24"/>
          <w:szCs w:val="24"/>
        </w:rPr>
        <w:t>）建物等施設の不動産取得に関する経費</w:t>
      </w:r>
      <w:r w:rsidRPr="00B307D2">
        <w:rPr>
          <w:sz w:val="24"/>
          <w:szCs w:val="24"/>
        </w:rPr>
        <w:t xml:space="preserve"> </w:t>
      </w:r>
    </w:p>
    <w:p w14:paraId="68E0340D" w14:textId="2923C8C4" w:rsidR="00A03AB9" w:rsidRPr="00B307D2" w:rsidRDefault="00E70D32" w:rsidP="00A03AB9">
      <w:pPr>
        <w:rPr>
          <w:sz w:val="24"/>
          <w:szCs w:val="24"/>
        </w:rPr>
      </w:pPr>
      <w:r w:rsidRPr="00B307D2">
        <w:rPr>
          <w:sz w:val="24"/>
          <w:szCs w:val="24"/>
        </w:rPr>
        <w:t>（</w:t>
      </w:r>
      <w:r w:rsidRPr="00B307D2">
        <w:rPr>
          <w:rFonts w:hint="eastAsia"/>
          <w:sz w:val="24"/>
          <w:szCs w:val="24"/>
        </w:rPr>
        <w:t>８</w:t>
      </w:r>
      <w:r w:rsidRPr="00B307D2">
        <w:rPr>
          <w:sz w:val="24"/>
          <w:szCs w:val="24"/>
        </w:rPr>
        <w:t>）既存の</w:t>
      </w:r>
      <w:r w:rsidRPr="00B307D2">
        <w:rPr>
          <w:rFonts w:hint="eastAsia"/>
          <w:sz w:val="24"/>
          <w:szCs w:val="24"/>
        </w:rPr>
        <w:t>機械</w:t>
      </w:r>
      <w:r w:rsidRPr="00B307D2">
        <w:rPr>
          <w:sz w:val="24"/>
          <w:szCs w:val="24"/>
        </w:rPr>
        <w:t>の更新（機能向上</w:t>
      </w:r>
      <w:r w:rsidRPr="00B307D2">
        <w:rPr>
          <w:rFonts w:ascii="ＭＳ 明朝" w:eastAsia="ＭＳ 明朝" w:hAnsi="ＭＳ 明朝" w:cs="ＭＳ 明朝" w:hint="eastAsia"/>
          <w:sz w:val="24"/>
          <w:szCs w:val="24"/>
        </w:rPr>
        <w:t>※</w:t>
      </w:r>
      <w:r w:rsidRPr="00B307D2">
        <w:rPr>
          <w:sz w:val="24"/>
          <w:szCs w:val="24"/>
        </w:rPr>
        <w:t>図られるものを除く。）</w:t>
      </w:r>
      <w:r w:rsidRPr="00B307D2">
        <w:rPr>
          <w:sz w:val="24"/>
          <w:szCs w:val="24"/>
        </w:rPr>
        <w:t xml:space="preserve"> </w:t>
      </w:r>
      <w:r w:rsidRPr="00B307D2">
        <w:rPr>
          <w:rFonts w:ascii="ＭＳ 明朝" w:eastAsia="ＭＳ 明朝" w:hAnsi="ＭＳ 明朝" w:cs="ＭＳ 明朝" w:hint="eastAsia"/>
          <w:sz w:val="24"/>
          <w:szCs w:val="24"/>
        </w:rPr>
        <w:t>※</w:t>
      </w:r>
      <w:r w:rsidRPr="00B307D2">
        <w:rPr>
          <w:sz w:val="24"/>
          <w:szCs w:val="24"/>
        </w:rPr>
        <w:t>既存</w:t>
      </w:r>
      <w:r w:rsidRPr="00B307D2">
        <w:rPr>
          <w:rFonts w:hint="eastAsia"/>
          <w:sz w:val="24"/>
          <w:szCs w:val="24"/>
        </w:rPr>
        <w:t>機械</w:t>
      </w:r>
      <w:r w:rsidRPr="00B307D2">
        <w:rPr>
          <w:sz w:val="24"/>
          <w:szCs w:val="24"/>
        </w:rPr>
        <w:t>から機能向上することがわかる書類を添付するとともに、事業実施計画に機能向上の内容について記載すること。</w:t>
      </w:r>
    </w:p>
    <w:sectPr w:rsidR="00A03AB9" w:rsidRPr="00B307D2" w:rsidSect="0039791B">
      <w:pgSz w:w="16838" w:h="11906" w:orient="landscape" w:code="9"/>
      <w:pgMar w:top="1080" w:right="1440" w:bottom="1080"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2FE5" w14:textId="77777777" w:rsidR="004C07AE" w:rsidRDefault="004C07AE" w:rsidP="001C2348">
      <w:r>
        <w:separator/>
      </w:r>
    </w:p>
  </w:endnote>
  <w:endnote w:type="continuationSeparator" w:id="0">
    <w:p w14:paraId="3A1BE39D" w14:textId="77777777" w:rsidR="004C07AE" w:rsidRDefault="004C07AE" w:rsidP="001C2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A2317" w14:textId="77777777" w:rsidR="004C07AE" w:rsidRDefault="004C07AE" w:rsidP="001C2348">
      <w:r>
        <w:separator/>
      </w:r>
    </w:p>
  </w:footnote>
  <w:footnote w:type="continuationSeparator" w:id="0">
    <w:p w14:paraId="6B9DAE56" w14:textId="77777777" w:rsidR="004C07AE" w:rsidRDefault="004C07AE" w:rsidP="001C2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0B0A"/>
    <w:multiLevelType w:val="hybridMultilevel"/>
    <w:tmpl w:val="B898538A"/>
    <w:lvl w:ilvl="0" w:tplc="396AE1B0">
      <w:start w:val="1"/>
      <w:numFmt w:val="decimalFullWidth"/>
      <w:lvlText w:val="第%1条"/>
      <w:lvlJc w:val="left"/>
      <w:pPr>
        <w:ind w:left="880" w:hanging="88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2AB63BB"/>
    <w:multiLevelType w:val="hybridMultilevel"/>
    <w:tmpl w:val="06A4FD04"/>
    <w:lvl w:ilvl="0" w:tplc="48823ABC">
      <w:start w:val="1"/>
      <w:numFmt w:val="decimalFullWidth"/>
      <w:lvlText w:val="（%1）"/>
      <w:lvlJc w:val="left"/>
      <w:pPr>
        <w:ind w:left="930" w:hanging="720"/>
      </w:pPr>
      <w:rPr>
        <w:rFonts w:hint="default"/>
        <w:strike w:val="0"/>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3F403F5"/>
    <w:multiLevelType w:val="hybridMultilevel"/>
    <w:tmpl w:val="7B001210"/>
    <w:lvl w:ilvl="0" w:tplc="5D52A9CE">
      <w:start w:val="1"/>
      <w:numFmt w:val="decimalFullWidth"/>
      <w:lvlText w:val="（%1）"/>
      <w:lvlJc w:val="left"/>
      <w:pPr>
        <w:ind w:left="930" w:hanging="720"/>
      </w:pPr>
      <w:rPr>
        <w:rFonts w:hint="default"/>
        <w:strike w:val="0"/>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5DF4269C"/>
    <w:multiLevelType w:val="hybridMultilevel"/>
    <w:tmpl w:val="174C0F54"/>
    <w:lvl w:ilvl="0" w:tplc="E34456D8">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0933F0C"/>
    <w:multiLevelType w:val="hybridMultilevel"/>
    <w:tmpl w:val="F9AA70AC"/>
    <w:lvl w:ilvl="0" w:tplc="BEB81312">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5" w15:restartNumberingAfterBreak="0">
    <w:nsid w:val="62D543A7"/>
    <w:multiLevelType w:val="hybridMultilevel"/>
    <w:tmpl w:val="801EA10E"/>
    <w:lvl w:ilvl="0" w:tplc="3C48059C">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51953163">
    <w:abstractNumId w:val="0"/>
  </w:num>
  <w:num w:numId="2" w16cid:durableId="273827913">
    <w:abstractNumId w:val="4"/>
  </w:num>
  <w:num w:numId="3" w16cid:durableId="441920665">
    <w:abstractNumId w:val="1"/>
  </w:num>
  <w:num w:numId="4" w16cid:durableId="53623925">
    <w:abstractNumId w:val="5"/>
  </w:num>
  <w:num w:numId="5" w16cid:durableId="1153329508">
    <w:abstractNumId w:val="3"/>
  </w:num>
  <w:num w:numId="6" w16cid:durableId="12656980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AB9"/>
    <w:rsid w:val="000438EA"/>
    <w:rsid w:val="00064520"/>
    <w:rsid w:val="000B6F55"/>
    <w:rsid w:val="00121EA9"/>
    <w:rsid w:val="00136242"/>
    <w:rsid w:val="001724F7"/>
    <w:rsid w:val="00174F97"/>
    <w:rsid w:val="001C2348"/>
    <w:rsid w:val="00274942"/>
    <w:rsid w:val="002D5420"/>
    <w:rsid w:val="00300F8C"/>
    <w:rsid w:val="003110D8"/>
    <w:rsid w:val="0039791B"/>
    <w:rsid w:val="004C07AE"/>
    <w:rsid w:val="00540AFD"/>
    <w:rsid w:val="00546ED8"/>
    <w:rsid w:val="00596D53"/>
    <w:rsid w:val="005E3094"/>
    <w:rsid w:val="00651BA2"/>
    <w:rsid w:val="00686210"/>
    <w:rsid w:val="00687526"/>
    <w:rsid w:val="006C750F"/>
    <w:rsid w:val="00737E9D"/>
    <w:rsid w:val="007D29E0"/>
    <w:rsid w:val="00823A6A"/>
    <w:rsid w:val="00887EA1"/>
    <w:rsid w:val="00890090"/>
    <w:rsid w:val="008A25FB"/>
    <w:rsid w:val="008A5BCC"/>
    <w:rsid w:val="008B3382"/>
    <w:rsid w:val="008C3F0C"/>
    <w:rsid w:val="008F30B0"/>
    <w:rsid w:val="0099360F"/>
    <w:rsid w:val="009942D6"/>
    <w:rsid w:val="009A38FE"/>
    <w:rsid w:val="009E5D41"/>
    <w:rsid w:val="00A0127B"/>
    <w:rsid w:val="00A03759"/>
    <w:rsid w:val="00A03AB9"/>
    <w:rsid w:val="00A40A07"/>
    <w:rsid w:val="00A45778"/>
    <w:rsid w:val="00A56A35"/>
    <w:rsid w:val="00AC07FF"/>
    <w:rsid w:val="00AD5DC3"/>
    <w:rsid w:val="00AF3762"/>
    <w:rsid w:val="00B17ED5"/>
    <w:rsid w:val="00B307D2"/>
    <w:rsid w:val="00B56237"/>
    <w:rsid w:val="00BE32BA"/>
    <w:rsid w:val="00C0092B"/>
    <w:rsid w:val="00CA0EB1"/>
    <w:rsid w:val="00CB7AE1"/>
    <w:rsid w:val="00D24202"/>
    <w:rsid w:val="00D369FF"/>
    <w:rsid w:val="00D7076D"/>
    <w:rsid w:val="00D85FC4"/>
    <w:rsid w:val="00E056B6"/>
    <w:rsid w:val="00E065AF"/>
    <w:rsid w:val="00E70D32"/>
    <w:rsid w:val="00E7467F"/>
    <w:rsid w:val="00E9741C"/>
    <w:rsid w:val="00F10F2D"/>
    <w:rsid w:val="00F311A1"/>
    <w:rsid w:val="00F85BCE"/>
    <w:rsid w:val="00FD1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9E827A"/>
  <w15:chartTrackingRefBased/>
  <w15:docId w15:val="{1D42195F-D59B-4723-B7EB-DB222B384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03AB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3AB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3AB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3AB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3AB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3AB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3AB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3AB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3AB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3AB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3AB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3AB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3AB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3AB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3AB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3AB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3AB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3AB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3AB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3A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3AB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3A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3AB9"/>
    <w:pPr>
      <w:spacing w:before="160" w:after="160"/>
      <w:jc w:val="center"/>
    </w:pPr>
    <w:rPr>
      <w:i/>
      <w:iCs/>
      <w:color w:val="404040" w:themeColor="text1" w:themeTint="BF"/>
    </w:rPr>
  </w:style>
  <w:style w:type="character" w:customStyle="1" w:styleId="a8">
    <w:name w:val="引用文 (文字)"/>
    <w:basedOn w:val="a0"/>
    <w:link w:val="a7"/>
    <w:uiPriority w:val="29"/>
    <w:rsid w:val="00A03AB9"/>
    <w:rPr>
      <w:i/>
      <w:iCs/>
      <w:color w:val="404040" w:themeColor="text1" w:themeTint="BF"/>
    </w:rPr>
  </w:style>
  <w:style w:type="paragraph" w:styleId="a9">
    <w:name w:val="List Paragraph"/>
    <w:basedOn w:val="a"/>
    <w:uiPriority w:val="34"/>
    <w:qFormat/>
    <w:rsid w:val="00A03AB9"/>
    <w:pPr>
      <w:ind w:left="720"/>
      <w:contextualSpacing/>
    </w:pPr>
  </w:style>
  <w:style w:type="character" w:styleId="21">
    <w:name w:val="Intense Emphasis"/>
    <w:basedOn w:val="a0"/>
    <w:uiPriority w:val="21"/>
    <w:qFormat/>
    <w:rsid w:val="00A03AB9"/>
    <w:rPr>
      <w:i/>
      <w:iCs/>
      <w:color w:val="2E74B5" w:themeColor="accent1" w:themeShade="BF"/>
    </w:rPr>
  </w:style>
  <w:style w:type="paragraph" w:styleId="22">
    <w:name w:val="Intense Quote"/>
    <w:basedOn w:val="a"/>
    <w:next w:val="a"/>
    <w:link w:val="23"/>
    <w:uiPriority w:val="30"/>
    <w:qFormat/>
    <w:rsid w:val="00A03A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03AB9"/>
    <w:rPr>
      <w:i/>
      <w:iCs/>
      <w:color w:val="2E74B5" w:themeColor="accent1" w:themeShade="BF"/>
    </w:rPr>
  </w:style>
  <w:style w:type="character" w:styleId="24">
    <w:name w:val="Intense Reference"/>
    <w:basedOn w:val="a0"/>
    <w:uiPriority w:val="32"/>
    <w:qFormat/>
    <w:rsid w:val="00A03AB9"/>
    <w:rPr>
      <w:b/>
      <w:bCs/>
      <w:smallCaps/>
      <w:color w:val="2E74B5" w:themeColor="accent1" w:themeShade="BF"/>
      <w:spacing w:val="5"/>
    </w:rPr>
  </w:style>
  <w:style w:type="paragraph" w:styleId="aa">
    <w:name w:val="header"/>
    <w:basedOn w:val="a"/>
    <w:link w:val="ab"/>
    <w:uiPriority w:val="99"/>
    <w:unhideWhenUsed/>
    <w:rsid w:val="001C2348"/>
    <w:pPr>
      <w:tabs>
        <w:tab w:val="center" w:pos="4252"/>
        <w:tab w:val="right" w:pos="8504"/>
      </w:tabs>
      <w:snapToGrid w:val="0"/>
    </w:pPr>
  </w:style>
  <w:style w:type="character" w:customStyle="1" w:styleId="ab">
    <w:name w:val="ヘッダー (文字)"/>
    <w:basedOn w:val="a0"/>
    <w:link w:val="aa"/>
    <w:uiPriority w:val="99"/>
    <w:rsid w:val="001C2348"/>
  </w:style>
  <w:style w:type="paragraph" w:styleId="ac">
    <w:name w:val="footer"/>
    <w:basedOn w:val="a"/>
    <w:link w:val="ad"/>
    <w:uiPriority w:val="99"/>
    <w:unhideWhenUsed/>
    <w:rsid w:val="001C2348"/>
    <w:pPr>
      <w:tabs>
        <w:tab w:val="center" w:pos="4252"/>
        <w:tab w:val="right" w:pos="8504"/>
      </w:tabs>
      <w:snapToGrid w:val="0"/>
    </w:pPr>
  </w:style>
  <w:style w:type="character" w:customStyle="1" w:styleId="ad">
    <w:name w:val="フッター (文字)"/>
    <w:basedOn w:val="a0"/>
    <w:link w:val="ac"/>
    <w:uiPriority w:val="99"/>
    <w:rsid w:val="001C2348"/>
  </w:style>
  <w:style w:type="table" w:styleId="ae">
    <w:name w:val="Table Grid"/>
    <w:basedOn w:val="a1"/>
    <w:uiPriority w:val="39"/>
    <w:rsid w:val="001C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F72C-81C0-44F0-9469-839AEE20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165</Words>
  <Characters>942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