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3AE" w:rsidRPr="0098454B" w:rsidRDefault="00A643AE" w:rsidP="0098454B">
      <w:pPr>
        <w:pStyle w:val="1"/>
        <w:rPr>
          <w:rFonts w:ascii="ＭＳ ゴシック" w:eastAsia="ＭＳ ゴシック" w:hAnsi="ＭＳ ゴシック"/>
          <w:b/>
          <w:sz w:val="28"/>
        </w:rPr>
      </w:pPr>
      <w:r w:rsidRPr="0098454B">
        <w:rPr>
          <w:rFonts w:ascii="ＭＳ ゴシック" w:eastAsia="ＭＳ ゴシック" w:hAnsi="ＭＳ ゴシック" w:hint="eastAsia"/>
          <w:b/>
          <w:sz w:val="28"/>
        </w:rPr>
        <w:t>用語解説</w:t>
      </w:r>
    </w:p>
    <w:p w:rsidR="00A643AE" w:rsidRPr="00A643AE" w:rsidRDefault="00A643AE" w:rsidP="00A643AE">
      <w:pPr>
        <w:pStyle w:val="1"/>
        <w:rPr>
          <w:rFonts w:ascii="ＭＳ ゴシック" w:eastAsia="ＭＳ ゴシック" w:hAnsi="ＭＳ ゴシック"/>
          <w:b/>
          <w:sz w:val="24"/>
        </w:rPr>
      </w:pPr>
      <w:r w:rsidRPr="00A643AE">
        <w:rPr>
          <w:rFonts w:ascii="ＭＳ ゴシック" w:eastAsia="ＭＳ ゴシック" w:hAnsi="ＭＳ ゴシック" w:hint="eastAsia"/>
          <w:b/>
          <w:sz w:val="24"/>
        </w:rPr>
        <w:t>１　地方公営企業</w:t>
      </w:r>
    </w:p>
    <w:p w:rsidR="00A643AE" w:rsidRPr="00A643AE" w:rsidRDefault="00A643AE" w:rsidP="00A643AE">
      <w:pPr>
        <w:rPr>
          <w:rFonts w:ascii="ＭＳ ゴシック" w:eastAsia="ＭＳ ゴシック" w:hAnsi="ＭＳ ゴシック"/>
        </w:rPr>
      </w:pPr>
      <w:r w:rsidRPr="00A643AE">
        <w:rPr>
          <w:rFonts w:ascii="ＭＳ ゴシック" w:eastAsia="ＭＳ ゴシック" w:hAnsi="ＭＳ ゴシック" w:hint="eastAsia"/>
        </w:rPr>
        <w:t>ア　地方公共団体は、教育、社会福祉、土木、消防など一般的な行政活動とともに、水の供給や公共輸送の確保、医療の提供や下水の処理など地域住民の生活や地域の発展に必要不可欠なサービスを提供する事業活動を行っているが、このような事業のために地方公共団体が経営する企業を「地方公営企業」と呼ぶ。</w:t>
      </w:r>
    </w:p>
    <w:p w:rsidR="00A643AE" w:rsidRPr="00A643AE" w:rsidRDefault="00A643AE" w:rsidP="00A643AE">
      <w:pPr>
        <w:rPr>
          <w:rFonts w:ascii="ＭＳ ゴシック" w:eastAsia="ＭＳ ゴシック" w:hAnsi="ＭＳ ゴシック"/>
        </w:rPr>
      </w:pPr>
      <w:r w:rsidRPr="00A643AE">
        <w:rPr>
          <w:rFonts w:ascii="ＭＳ ゴシック" w:eastAsia="ＭＳ ゴシック" w:hAnsi="ＭＳ ゴシック" w:hint="eastAsia"/>
        </w:rPr>
        <w:t>イ　具体的には、地方財政法施行令第４６条に掲げる１３事業（水道、工業用水道、交通、電気、ガス、簡易水道、港湾整備、病院、市場、と畜場、観光施設、宅地造成、下水道）を指す。そのうち、水道、工業用水道、軌道、自動車運送、鉄道、電気、ガスの７事業及び病院については、企業経営のための組織、財務、身分取扱等に関する地方自治法の特例を定めた「地方公営企業法（以下「法」という。）」の規定が適用される（７事業は法の全部が適用され、病院事業は法のうち財務規定のみ適用される）。</w:t>
      </w:r>
    </w:p>
    <w:p w:rsidR="00A643AE" w:rsidRPr="00A643AE" w:rsidRDefault="00A643AE" w:rsidP="00A643AE">
      <w:pPr>
        <w:rPr>
          <w:rFonts w:ascii="ＭＳ ゴシック" w:eastAsia="ＭＳ ゴシック" w:hAnsi="ＭＳ ゴシック"/>
        </w:rPr>
      </w:pPr>
      <w:r w:rsidRPr="00A643AE">
        <w:rPr>
          <w:rFonts w:ascii="ＭＳ ゴシック" w:eastAsia="ＭＳ ゴシック" w:hAnsi="ＭＳ ゴシック" w:hint="eastAsia"/>
        </w:rPr>
        <w:t>ウ　地方公営企業の経理については、特別会計を設けてこれを行い、「その経費は当該事業の経営に伴う収入をもってこれに充てなければならない」という独立採算を建前とする。</w:t>
      </w:r>
    </w:p>
    <w:p w:rsidR="00A643AE" w:rsidRPr="00A643AE" w:rsidRDefault="00A643AE" w:rsidP="00A643AE">
      <w:pPr>
        <w:rPr>
          <w:rFonts w:ascii="ＭＳ ゴシック" w:eastAsia="ＭＳ ゴシック" w:hAnsi="ＭＳ ゴシック"/>
        </w:rPr>
      </w:pPr>
      <w:r w:rsidRPr="00A643AE">
        <w:rPr>
          <w:rFonts w:ascii="ＭＳ ゴシック" w:eastAsia="ＭＳ ゴシック" w:hAnsi="ＭＳ ゴシック" w:hint="eastAsia"/>
        </w:rPr>
        <w:t>エ　上記の１３事業以外にも、「主としてその経費を当該事業の経営に伴う収入をもって充てるもの」については、「地方公営企業」として、条例等で定めることにより法の全部または財務規定等を適用することができる（法第２条第３項）。「主としてその経費を当該事業の経営に伴う収入をもって充てるもの」とはその経常的経費の少なくとも７０～８０％程度を、料金等の経常的な収入でまかなうことができるものをいう。</w:t>
      </w:r>
    </w:p>
    <w:p w:rsidR="00A643AE" w:rsidRPr="00A643AE" w:rsidRDefault="00A643AE" w:rsidP="00A643AE">
      <w:pPr>
        <w:pStyle w:val="1"/>
        <w:rPr>
          <w:rFonts w:ascii="ＭＳ ゴシック" w:eastAsia="ＭＳ ゴシック" w:hAnsi="ＭＳ ゴシック"/>
          <w:b/>
          <w:sz w:val="24"/>
        </w:rPr>
      </w:pPr>
      <w:r w:rsidRPr="00A643AE">
        <w:rPr>
          <w:rFonts w:ascii="ＭＳ ゴシック" w:eastAsia="ＭＳ ゴシック" w:hAnsi="ＭＳ ゴシック" w:hint="eastAsia"/>
          <w:b/>
          <w:sz w:val="24"/>
        </w:rPr>
        <w:t>２　企業団</w:t>
      </w:r>
    </w:p>
    <w:p w:rsidR="00A643AE" w:rsidRPr="00A643AE" w:rsidRDefault="00A643AE" w:rsidP="00A643AE">
      <w:pPr>
        <w:rPr>
          <w:rFonts w:ascii="ＭＳ ゴシック" w:eastAsia="ＭＳ ゴシック" w:hAnsi="ＭＳ ゴシック"/>
        </w:rPr>
      </w:pPr>
      <w:r w:rsidRPr="00A643AE">
        <w:rPr>
          <w:rFonts w:ascii="ＭＳ ゴシック" w:eastAsia="ＭＳ ゴシック" w:hAnsi="ＭＳ ゴシック" w:hint="eastAsia"/>
        </w:rPr>
        <w:t>法の規定の全部が適用される地方公営企業の経営に関する事務を共同処理する一部事務組合（法第３９条の２第１項）。</w:t>
      </w:r>
    </w:p>
    <w:p w:rsidR="00A643AE" w:rsidRPr="00A643AE" w:rsidRDefault="00A643AE" w:rsidP="00A643AE">
      <w:pPr>
        <w:rPr>
          <w:rFonts w:ascii="ＭＳ ゴシック" w:eastAsia="ＭＳ ゴシック" w:hAnsi="ＭＳ ゴシック"/>
        </w:rPr>
      </w:pPr>
    </w:p>
    <w:p w:rsidR="00A643AE" w:rsidRPr="00A643AE" w:rsidRDefault="00A643AE" w:rsidP="00A643AE">
      <w:pPr>
        <w:pStyle w:val="1"/>
        <w:rPr>
          <w:rFonts w:ascii="ＭＳ ゴシック" w:eastAsia="ＭＳ ゴシック" w:hAnsi="ＭＳ ゴシック"/>
          <w:b/>
          <w:sz w:val="24"/>
        </w:rPr>
      </w:pPr>
      <w:r w:rsidRPr="00A643AE">
        <w:rPr>
          <w:rFonts w:ascii="ＭＳ ゴシック" w:eastAsia="ＭＳ ゴシック" w:hAnsi="ＭＳ ゴシック" w:hint="eastAsia"/>
          <w:b/>
          <w:sz w:val="24"/>
        </w:rPr>
        <w:t>３　他会計繰入金</w:t>
      </w:r>
    </w:p>
    <w:p w:rsidR="00A643AE" w:rsidRPr="00A643AE" w:rsidRDefault="00A643AE" w:rsidP="00A643AE">
      <w:pPr>
        <w:rPr>
          <w:rFonts w:ascii="ＭＳ ゴシック" w:eastAsia="ＭＳ ゴシック" w:hAnsi="ＭＳ ゴシック"/>
        </w:rPr>
      </w:pPr>
      <w:r w:rsidRPr="00A643AE">
        <w:rPr>
          <w:rFonts w:ascii="ＭＳ ゴシック" w:eastAsia="ＭＳ ゴシック" w:hAnsi="ＭＳ ゴシック" w:hint="eastAsia"/>
        </w:rPr>
        <w:t>他会計（主に普通会計）からの負担金、補助金、出資金をいう。</w:t>
      </w:r>
    </w:p>
    <w:p w:rsidR="00A643AE" w:rsidRPr="00A643AE" w:rsidRDefault="00A643AE" w:rsidP="00A643AE">
      <w:pPr>
        <w:pStyle w:val="1"/>
        <w:rPr>
          <w:rFonts w:ascii="ＭＳ ゴシック" w:eastAsia="ＭＳ ゴシック" w:hAnsi="ＭＳ ゴシック"/>
          <w:b/>
          <w:sz w:val="24"/>
        </w:rPr>
      </w:pPr>
      <w:r w:rsidRPr="00A643AE">
        <w:rPr>
          <w:rFonts w:ascii="ＭＳ ゴシック" w:eastAsia="ＭＳ ゴシック" w:hAnsi="ＭＳ ゴシック" w:hint="eastAsia"/>
          <w:b/>
          <w:sz w:val="24"/>
        </w:rPr>
        <w:lastRenderedPageBreak/>
        <w:t>４　繰出基準</w:t>
      </w:r>
    </w:p>
    <w:p w:rsidR="00A643AE" w:rsidRPr="00A643AE" w:rsidRDefault="00A643AE" w:rsidP="00A643AE">
      <w:pPr>
        <w:rPr>
          <w:rFonts w:ascii="ＭＳ ゴシック" w:eastAsia="ＭＳ ゴシック" w:hAnsi="ＭＳ ゴシック"/>
        </w:rPr>
      </w:pPr>
      <w:r w:rsidRPr="00A643AE">
        <w:rPr>
          <w:rFonts w:ascii="ＭＳ ゴシック" w:eastAsia="ＭＳ ゴシック" w:hAnsi="ＭＳ ゴシック" w:hint="eastAsia"/>
        </w:rPr>
        <w:t xml:space="preserve">　地方公営企業は、受益者負担を原則とする独立採算制を建前とするが、民間企業とは異なる特殊性があることから、その経費の一部については、一般会計等が負担又は補助し、残りの経費について料金で回収することとされている。</w:t>
      </w:r>
    </w:p>
    <w:p w:rsidR="00A643AE" w:rsidRPr="00A643AE" w:rsidRDefault="00A643AE" w:rsidP="00A643AE">
      <w:pPr>
        <w:rPr>
          <w:rFonts w:ascii="ＭＳ ゴシック" w:eastAsia="ＭＳ ゴシック" w:hAnsi="ＭＳ ゴシック"/>
        </w:rPr>
      </w:pPr>
      <w:r w:rsidRPr="00A643AE">
        <w:rPr>
          <w:rFonts w:ascii="ＭＳ ゴシック" w:eastAsia="ＭＳ ゴシック" w:hAnsi="ＭＳ ゴシック" w:hint="eastAsia"/>
        </w:rPr>
        <w:t xml:space="preserve">　一般会計が負担又は補助すべき経費は、経費の性質上経営に伴う収入をもって充てることが適当でない経費、あるいは地方公営企業の性質上能率的な経営を行ってもなお経営に伴う収入のみをもって充てることが客観的に困難であると認められる経費等であり、これら負担区分についてはいわゆる繰出基準として毎年度総務省から通知される「地方公営企業繰出金について」において具体的に示されている。</w:t>
      </w:r>
    </w:p>
    <w:p w:rsidR="00A643AE" w:rsidRPr="00A643AE" w:rsidRDefault="00A643AE" w:rsidP="00A643AE">
      <w:pPr>
        <w:pStyle w:val="1"/>
        <w:rPr>
          <w:rFonts w:ascii="ＭＳ ゴシック" w:eastAsia="ＭＳ ゴシック" w:hAnsi="ＭＳ ゴシック"/>
          <w:b/>
          <w:sz w:val="24"/>
        </w:rPr>
      </w:pPr>
      <w:r w:rsidRPr="00A643AE">
        <w:rPr>
          <w:rFonts w:ascii="ＭＳ ゴシック" w:eastAsia="ＭＳ ゴシック" w:hAnsi="ＭＳ ゴシック" w:hint="eastAsia"/>
          <w:b/>
          <w:sz w:val="24"/>
        </w:rPr>
        <w:t>５　基準内繰入金</w:t>
      </w:r>
    </w:p>
    <w:p w:rsidR="00A643AE" w:rsidRPr="00A643AE" w:rsidRDefault="00A643AE" w:rsidP="00A643AE">
      <w:pPr>
        <w:rPr>
          <w:rFonts w:ascii="ＭＳ ゴシック" w:eastAsia="ＭＳ ゴシック" w:hAnsi="ＭＳ ゴシック"/>
        </w:rPr>
      </w:pPr>
      <w:r w:rsidRPr="00A643AE">
        <w:rPr>
          <w:rFonts w:ascii="ＭＳ ゴシック" w:eastAsia="ＭＳ ゴシック" w:hAnsi="ＭＳ ゴシック" w:hint="eastAsia"/>
        </w:rPr>
        <w:t xml:space="preserve">　繰出基準に基づく他会計繰入金。</w:t>
      </w:r>
    </w:p>
    <w:p w:rsidR="00A643AE" w:rsidRPr="00A643AE" w:rsidRDefault="00A643AE" w:rsidP="00A643AE">
      <w:pPr>
        <w:pStyle w:val="1"/>
        <w:rPr>
          <w:rFonts w:ascii="ＭＳ ゴシック" w:eastAsia="ＭＳ ゴシック" w:hAnsi="ＭＳ ゴシック"/>
          <w:b/>
          <w:sz w:val="24"/>
        </w:rPr>
      </w:pPr>
      <w:r w:rsidRPr="00A643AE">
        <w:rPr>
          <w:rFonts w:ascii="ＭＳ ゴシック" w:eastAsia="ＭＳ ゴシック" w:hAnsi="ＭＳ ゴシック" w:hint="eastAsia"/>
          <w:b/>
          <w:sz w:val="24"/>
        </w:rPr>
        <w:t>６　基準外繰入金</w:t>
      </w:r>
    </w:p>
    <w:p w:rsidR="00A643AE" w:rsidRPr="00A643AE" w:rsidRDefault="00A643AE" w:rsidP="00A643AE">
      <w:pPr>
        <w:rPr>
          <w:rFonts w:ascii="ＭＳ ゴシック" w:eastAsia="ＭＳ ゴシック" w:hAnsi="ＭＳ ゴシック"/>
        </w:rPr>
      </w:pPr>
      <w:r w:rsidRPr="00A643AE">
        <w:rPr>
          <w:rFonts w:ascii="ＭＳ ゴシック" w:eastAsia="ＭＳ ゴシック" w:hAnsi="ＭＳ ゴシック" w:hint="eastAsia"/>
        </w:rPr>
        <w:t xml:space="preserve">　繰出基準に基づかない任意の他会計繰入金、あるいは繰出基準により算定された繰入額を超えて他会計からの繰入れが行われた場合の当該額を超える繰入金。</w:t>
      </w:r>
    </w:p>
    <w:p w:rsidR="00A643AE" w:rsidRPr="00A643AE" w:rsidRDefault="00A643AE" w:rsidP="00A643AE">
      <w:pPr>
        <w:pStyle w:val="1"/>
        <w:rPr>
          <w:rFonts w:ascii="ＭＳ ゴシック" w:eastAsia="ＭＳ ゴシック" w:hAnsi="ＭＳ ゴシック"/>
          <w:b/>
          <w:sz w:val="24"/>
        </w:rPr>
      </w:pPr>
      <w:r w:rsidRPr="00A643AE">
        <w:rPr>
          <w:rFonts w:ascii="ＭＳ ゴシック" w:eastAsia="ＭＳ ゴシック" w:hAnsi="ＭＳ ゴシック" w:hint="eastAsia"/>
          <w:b/>
          <w:sz w:val="24"/>
        </w:rPr>
        <w:t>７　収益的収入・支出</w:t>
      </w:r>
    </w:p>
    <w:p w:rsidR="00A643AE" w:rsidRPr="00A643AE" w:rsidRDefault="00A643AE" w:rsidP="00A643AE">
      <w:pPr>
        <w:rPr>
          <w:rFonts w:ascii="ＭＳ ゴシック" w:eastAsia="ＭＳ ゴシック" w:hAnsi="ＭＳ ゴシック"/>
        </w:rPr>
      </w:pPr>
      <w:r w:rsidRPr="00A643AE">
        <w:rPr>
          <w:rFonts w:ascii="ＭＳ ゴシック" w:eastAsia="ＭＳ ゴシック" w:hAnsi="ＭＳ ゴシック" w:hint="eastAsia"/>
        </w:rPr>
        <w:t xml:space="preserve">　一事業年度の企業の経営活動に伴い発生が予定される全ての収益とそれに対応する全ての費用をいう。</w:t>
      </w:r>
    </w:p>
    <w:p w:rsidR="00A643AE" w:rsidRPr="00A643AE" w:rsidRDefault="00A643AE" w:rsidP="00A643AE">
      <w:pPr>
        <w:rPr>
          <w:rFonts w:ascii="ＭＳ ゴシック" w:eastAsia="ＭＳ ゴシック" w:hAnsi="ＭＳ ゴシック"/>
        </w:rPr>
      </w:pPr>
      <w:r w:rsidRPr="00A643AE">
        <w:rPr>
          <w:rFonts w:ascii="ＭＳ ゴシック" w:eastAsia="ＭＳ ゴシック" w:hAnsi="ＭＳ ゴシック" w:hint="eastAsia"/>
        </w:rPr>
        <w:t xml:space="preserve">　収益的収入については、サービス提供の対価としての料金収入を主とする「営業収益」、受取利息、他会計補助金等の「営業外収益」、固定資産売却益等の「特別利益」からなる。</w:t>
      </w:r>
    </w:p>
    <w:p w:rsidR="00A643AE" w:rsidRPr="00A643AE" w:rsidRDefault="00A643AE" w:rsidP="00A643AE">
      <w:pPr>
        <w:rPr>
          <w:rFonts w:ascii="ＭＳ ゴシック" w:eastAsia="ＭＳ ゴシック" w:hAnsi="ＭＳ ゴシック"/>
        </w:rPr>
      </w:pPr>
      <w:r w:rsidRPr="00A643AE">
        <w:rPr>
          <w:rFonts w:ascii="ＭＳ ゴシック" w:eastAsia="ＭＳ ゴシック" w:hAnsi="ＭＳ ゴシック" w:hint="eastAsia"/>
        </w:rPr>
        <w:t xml:space="preserve">　収益的支出は、サービスの提供に要する人件費・減価償却費、物件費等の「営業費用」、支払利息等の「営業外費用」、固定資産売却損等の「特別損失」及び「予備費」からなる。</w:t>
      </w:r>
    </w:p>
    <w:p w:rsidR="00A643AE" w:rsidRPr="00A643AE" w:rsidRDefault="00A643AE" w:rsidP="00A643AE">
      <w:pPr>
        <w:pStyle w:val="1"/>
        <w:rPr>
          <w:rFonts w:ascii="ＭＳ ゴシック" w:eastAsia="ＭＳ ゴシック" w:hAnsi="ＭＳ ゴシック"/>
          <w:b/>
          <w:sz w:val="24"/>
        </w:rPr>
      </w:pPr>
      <w:r w:rsidRPr="00A643AE">
        <w:rPr>
          <w:rFonts w:ascii="ＭＳ ゴシック" w:eastAsia="ＭＳ ゴシック" w:hAnsi="ＭＳ ゴシック" w:hint="eastAsia"/>
          <w:b/>
          <w:sz w:val="24"/>
        </w:rPr>
        <w:t>８　資本的収入・支出</w:t>
      </w:r>
    </w:p>
    <w:p w:rsidR="0098454B" w:rsidRDefault="00A643AE" w:rsidP="00A643AE">
      <w:pPr>
        <w:rPr>
          <w:rFonts w:ascii="ＭＳ ゴシック" w:eastAsia="ＭＳ ゴシック" w:hAnsi="ＭＳ ゴシック"/>
        </w:rPr>
      </w:pPr>
      <w:r w:rsidRPr="00A643AE">
        <w:rPr>
          <w:rFonts w:ascii="ＭＳ ゴシック" w:eastAsia="ＭＳ ゴシック" w:hAnsi="ＭＳ ゴシック" w:hint="eastAsia"/>
        </w:rPr>
        <w:t xml:space="preserve">　企業の将来の経営活動に備えて行う建設改良及び建設改良にかかる企業債償還金等の支出とその財源となる収入をいう。</w:t>
      </w:r>
    </w:p>
    <w:p w:rsidR="00A643AE" w:rsidRPr="00A643AE" w:rsidRDefault="00A643AE" w:rsidP="00A643AE">
      <w:pPr>
        <w:rPr>
          <w:rFonts w:ascii="ＭＳ ゴシック" w:eastAsia="ＭＳ ゴシック" w:hAnsi="ＭＳ ゴシック"/>
        </w:rPr>
      </w:pPr>
      <w:bookmarkStart w:id="0" w:name="_GoBack"/>
      <w:bookmarkEnd w:id="0"/>
      <w:r w:rsidRPr="00A643AE">
        <w:rPr>
          <w:rFonts w:ascii="ＭＳ ゴシック" w:eastAsia="ＭＳ ゴシック" w:hAnsi="ＭＳ ゴシック" w:hint="eastAsia"/>
        </w:rPr>
        <w:lastRenderedPageBreak/>
        <w:t xml:space="preserve">　資本的支出には、「建設改良費」「企業債償還金（元金）」等の費用とは直接関係ない支出で、現金支出を必要とするものが計上される。</w:t>
      </w:r>
    </w:p>
    <w:p w:rsidR="00A643AE" w:rsidRPr="00A643AE" w:rsidRDefault="00A643AE" w:rsidP="00A643AE">
      <w:pPr>
        <w:rPr>
          <w:rFonts w:ascii="ＭＳ ゴシック" w:eastAsia="ＭＳ ゴシック" w:hAnsi="ＭＳ ゴシック"/>
        </w:rPr>
      </w:pPr>
      <w:r w:rsidRPr="00A643AE">
        <w:rPr>
          <w:rFonts w:ascii="ＭＳ ゴシック" w:eastAsia="ＭＳ ゴシック" w:hAnsi="ＭＳ ゴシック" w:hint="eastAsia"/>
        </w:rPr>
        <w:t xml:space="preserve">　資本的収入には、「企業債」「固定資産売却代金（売却益は除く。売却益は収益的収入の「特別利益」に計上。）」「他会計からの出資金」等の現金収入が予定されるものが計上される。</w:t>
      </w:r>
    </w:p>
    <w:p w:rsidR="00A643AE" w:rsidRPr="00A643AE" w:rsidRDefault="00A643AE" w:rsidP="00A643AE">
      <w:pPr>
        <w:pStyle w:val="1"/>
        <w:rPr>
          <w:rFonts w:ascii="ＭＳ ゴシック" w:eastAsia="ＭＳ ゴシック" w:hAnsi="ＭＳ ゴシック"/>
          <w:b/>
          <w:sz w:val="24"/>
        </w:rPr>
      </w:pPr>
      <w:r w:rsidRPr="00A643AE">
        <w:rPr>
          <w:rFonts w:ascii="ＭＳ ゴシック" w:eastAsia="ＭＳ ゴシック" w:hAnsi="ＭＳ ゴシック" w:hint="eastAsia"/>
          <w:b/>
          <w:sz w:val="24"/>
        </w:rPr>
        <w:t>９　経常収支</w:t>
      </w:r>
    </w:p>
    <w:p w:rsidR="00A643AE" w:rsidRPr="00A643AE" w:rsidRDefault="00A643AE" w:rsidP="00A643AE">
      <w:pPr>
        <w:rPr>
          <w:rFonts w:ascii="ＭＳ ゴシック" w:eastAsia="ＭＳ ゴシック" w:hAnsi="ＭＳ ゴシック"/>
        </w:rPr>
      </w:pPr>
      <w:r w:rsidRPr="00A643AE">
        <w:rPr>
          <w:rFonts w:ascii="ＭＳ ゴシック" w:eastAsia="ＭＳ ゴシック" w:hAnsi="ＭＳ ゴシック" w:hint="eastAsia"/>
        </w:rPr>
        <w:t xml:space="preserve">　法適用企業の収益的収支中における、</w:t>
      </w:r>
    </w:p>
    <w:p w:rsidR="00A643AE" w:rsidRPr="00A643AE" w:rsidRDefault="00A643AE" w:rsidP="00A643AE">
      <w:pPr>
        <w:rPr>
          <w:rFonts w:ascii="ＭＳ ゴシック" w:eastAsia="ＭＳ ゴシック" w:hAnsi="ＭＳ ゴシック"/>
        </w:rPr>
      </w:pPr>
      <w:r w:rsidRPr="00A643AE">
        <w:rPr>
          <w:rFonts w:ascii="ＭＳ ゴシック" w:eastAsia="ＭＳ ゴシック" w:hAnsi="ＭＳ ゴシック" w:hint="eastAsia"/>
        </w:rPr>
        <w:t xml:space="preserve">　・総収益から特別利益を差し引いたもの（経常収益）と</w:t>
      </w:r>
    </w:p>
    <w:p w:rsidR="00A643AE" w:rsidRPr="00A643AE" w:rsidRDefault="00A643AE" w:rsidP="00A643AE">
      <w:pPr>
        <w:rPr>
          <w:rFonts w:ascii="ＭＳ ゴシック" w:eastAsia="ＭＳ ゴシック" w:hAnsi="ＭＳ ゴシック"/>
        </w:rPr>
      </w:pPr>
      <w:r w:rsidRPr="00A643AE">
        <w:rPr>
          <w:rFonts w:ascii="ＭＳ ゴシック" w:eastAsia="ＭＳ ゴシック" w:hAnsi="ＭＳ ゴシック" w:hint="eastAsia"/>
        </w:rPr>
        <w:t xml:space="preserve">　・総費用から特別損失を差し引いたもの（経常損失）の差。</w:t>
      </w:r>
    </w:p>
    <w:p w:rsidR="00A643AE" w:rsidRPr="00A643AE" w:rsidRDefault="00A643AE" w:rsidP="00A643AE">
      <w:pPr>
        <w:pStyle w:val="1"/>
        <w:rPr>
          <w:rFonts w:ascii="ＭＳ ゴシック" w:eastAsia="ＭＳ ゴシック" w:hAnsi="ＭＳ ゴシック"/>
          <w:b/>
          <w:sz w:val="24"/>
        </w:rPr>
      </w:pPr>
      <w:r w:rsidRPr="00A643AE">
        <w:rPr>
          <w:rFonts w:ascii="ＭＳ ゴシック" w:eastAsia="ＭＳ ゴシック" w:hAnsi="ＭＳ ゴシック"/>
          <w:b/>
          <w:sz w:val="24"/>
        </w:rPr>
        <w:t>10　実質収支</w:t>
      </w:r>
    </w:p>
    <w:p w:rsidR="00A643AE" w:rsidRPr="00A643AE" w:rsidRDefault="00A643AE" w:rsidP="00A643AE">
      <w:pPr>
        <w:rPr>
          <w:rFonts w:ascii="ＭＳ ゴシック" w:eastAsia="ＭＳ ゴシック" w:hAnsi="ＭＳ ゴシック"/>
        </w:rPr>
      </w:pPr>
      <w:r w:rsidRPr="00A643AE">
        <w:rPr>
          <w:rFonts w:ascii="ＭＳ ゴシック" w:eastAsia="ＭＳ ゴシック" w:hAnsi="ＭＳ ゴシック" w:hint="eastAsia"/>
        </w:rPr>
        <w:t xml:space="preserve">　現金収支に債権債務の発生主義の要素を加味して法非適用企業における実質的な財政収支の結果を明らかにするもので、「形式的収支－</w:t>
      </w:r>
      <w:r w:rsidRPr="00A643AE">
        <w:rPr>
          <w:rFonts w:ascii="ＭＳ ゴシック" w:eastAsia="ＭＳ ゴシック" w:hAnsi="ＭＳ ゴシック"/>
        </w:rPr>
        <w:t xml:space="preserve"> 翌年度に繰り越すべき財源」によって求めた額をいう。</w:t>
      </w:r>
    </w:p>
    <w:p w:rsidR="00A643AE" w:rsidRPr="00A643AE" w:rsidRDefault="00A643AE" w:rsidP="00A643AE">
      <w:pPr>
        <w:rPr>
          <w:rFonts w:ascii="ＭＳ ゴシック" w:eastAsia="ＭＳ ゴシック" w:hAnsi="ＭＳ ゴシック"/>
          <w:sz w:val="24"/>
        </w:rPr>
      </w:pPr>
      <w:r w:rsidRPr="00A643AE">
        <w:rPr>
          <w:rFonts w:ascii="ＭＳ ゴシック" w:eastAsia="ＭＳ ゴシック" w:hAnsi="ＭＳ ゴシック" w:hint="eastAsia"/>
        </w:rPr>
        <w:t>（注）形式的収支＝収益的収支＋資本的収支＋前年度からの繰越金－（積立金＋前年度繰上充用金）</w:t>
      </w:r>
    </w:p>
    <w:p w:rsidR="00A643AE" w:rsidRPr="00A643AE" w:rsidRDefault="00A643AE" w:rsidP="00A643AE">
      <w:pPr>
        <w:pStyle w:val="1"/>
        <w:rPr>
          <w:rFonts w:ascii="ＭＳ ゴシック" w:eastAsia="ＭＳ ゴシック" w:hAnsi="ＭＳ ゴシック"/>
          <w:b/>
          <w:sz w:val="24"/>
        </w:rPr>
      </w:pPr>
      <w:r w:rsidRPr="00A643AE">
        <w:rPr>
          <w:rFonts w:ascii="ＭＳ ゴシック" w:eastAsia="ＭＳ ゴシック" w:hAnsi="ＭＳ ゴシック"/>
          <w:b/>
          <w:sz w:val="24"/>
        </w:rPr>
        <w:t>11　累積欠損金</w:t>
      </w:r>
    </w:p>
    <w:p w:rsidR="00A643AE" w:rsidRDefault="00A643AE" w:rsidP="00A643AE">
      <w:pPr>
        <w:rPr>
          <w:rFonts w:ascii="ＭＳ ゴシック" w:eastAsia="ＭＳ ゴシック" w:hAnsi="ＭＳ ゴシック"/>
        </w:rPr>
      </w:pPr>
      <w:r w:rsidRPr="00A643AE">
        <w:rPr>
          <w:rFonts w:ascii="ＭＳ ゴシック" w:eastAsia="ＭＳ ゴシック" w:hAnsi="ＭＳ ゴシック" w:hint="eastAsia"/>
        </w:rPr>
        <w:t xml:space="preserve">　法適用企業において、営業活動によって損失（赤字）を生じた場合、繰越利益剰余金（前事業年度から繰り越した利益）、利益積立金等によってもなお補填できなかった各事業年度の損失（赤字額）が累積したものをいう。</w:t>
      </w:r>
    </w:p>
    <w:p w:rsidR="00EC1A2C" w:rsidRPr="00A643AE" w:rsidRDefault="00A643AE" w:rsidP="00A643AE">
      <w:pPr>
        <w:ind w:firstLineChars="100" w:firstLine="210"/>
        <w:rPr>
          <w:rFonts w:ascii="ＭＳ ゴシック" w:eastAsia="ＭＳ ゴシック" w:hAnsi="ＭＳ ゴシック"/>
        </w:rPr>
      </w:pPr>
      <w:r w:rsidRPr="00A643AE">
        <w:rPr>
          <w:rFonts w:ascii="ＭＳ ゴシック" w:eastAsia="ＭＳ ゴシック" w:hAnsi="ＭＳ ゴシック" w:hint="eastAsia"/>
        </w:rPr>
        <w:t>累積欠損金は、経常費用に占める減価償却費及び支払利息の比率の高い企業において増大する傾向がある。</w:t>
      </w:r>
    </w:p>
    <w:sectPr w:rsidR="00EC1A2C" w:rsidRPr="00A643AE" w:rsidSect="0027022E">
      <w:footerReference w:type="default" r:id="rId8"/>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C78" w:rsidRDefault="00E06C78" w:rsidP="00E06C78">
      <w:pPr>
        <w:spacing w:after="0" w:line="240" w:lineRule="auto"/>
      </w:pPr>
      <w:r>
        <w:separator/>
      </w:r>
    </w:p>
  </w:endnote>
  <w:endnote w:type="continuationSeparator" w:id="0">
    <w:p w:rsidR="00E06C78" w:rsidRDefault="00E06C78" w:rsidP="00E06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2067951"/>
      <w:docPartObj>
        <w:docPartGallery w:val="Page Numbers (Bottom of Page)"/>
        <w:docPartUnique/>
      </w:docPartObj>
    </w:sdtPr>
    <w:sdtEndPr/>
    <w:sdtContent>
      <w:p w:rsidR="00E06C78" w:rsidRDefault="00E06C78">
        <w:pPr>
          <w:pStyle w:val="af5"/>
          <w:jc w:val="center"/>
        </w:pPr>
        <w:r>
          <w:fldChar w:fldCharType="begin"/>
        </w:r>
        <w:r>
          <w:instrText>PAGE   \* MERGEFORMAT</w:instrText>
        </w:r>
        <w:r>
          <w:fldChar w:fldCharType="separate"/>
        </w:r>
        <w:r w:rsidR="0098454B" w:rsidRPr="0098454B">
          <w:rPr>
            <w:noProof/>
            <w:lang w:val="ja-JP"/>
          </w:rPr>
          <w:t>1</w:t>
        </w:r>
        <w:r>
          <w:fldChar w:fldCharType="end"/>
        </w:r>
      </w:p>
    </w:sdtContent>
  </w:sdt>
  <w:p w:rsidR="00E06C78" w:rsidRDefault="00E06C78">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C78" w:rsidRDefault="00E06C78" w:rsidP="00E06C78">
      <w:pPr>
        <w:spacing w:after="0" w:line="240" w:lineRule="auto"/>
      </w:pPr>
      <w:r>
        <w:separator/>
      </w:r>
    </w:p>
  </w:footnote>
  <w:footnote w:type="continuationSeparator" w:id="0">
    <w:p w:rsidR="00E06C78" w:rsidRDefault="00E06C78" w:rsidP="00E06C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152017"/>
    <w:multiLevelType w:val="hybridMultilevel"/>
    <w:tmpl w:val="FD52EF4A"/>
    <w:lvl w:ilvl="0" w:tplc="A2CE4B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4DF"/>
    <w:rsid w:val="00114205"/>
    <w:rsid w:val="001161EA"/>
    <w:rsid w:val="00236C6A"/>
    <w:rsid w:val="00247D20"/>
    <w:rsid w:val="0027022E"/>
    <w:rsid w:val="00295EFD"/>
    <w:rsid w:val="002D2F47"/>
    <w:rsid w:val="00370F13"/>
    <w:rsid w:val="00430DF9"/>
    <w:rsid w:val="004653B2"/>
    <w:rsid w:val="00470492"/>
    <w:rsid w:val="005536FC"/>
    <w:rsid w:val="00561C84"/>
    <w:rsid w:val="006456F3"/>
    <w:rsid w:val="00694653"/>
    <w:rsid w:val="006B3D7C"/>
    <w:rsid w:val="006F0330"/>
    <w:rsid w:val="00731A24"/>
    <w:rsid w:val="007B75BE"/>
    <w:rsid w:val="00940E08"/>
    <w:rsid w:val="0098454B"/>
    <w:rsid w:val="00A643AE"/>
    <w:rsid w:val="00A87274"/>
    <w:rsid w:val="00AF6620"/>
    <w:rsid w:val="00B92AD1"/>
    <w:rsid w:val="00BB427D"/>
    <w:rsid w:val="00BC7B73"/>
    <w:rsid w:val="00D23B61"/>
    <w:rsid w:val="00D424DF"/>
    <w:rsid w:val="00DA59C2"/>
    <w:rsid w:val="00E019E9"/>
    <w:rsid w:val="00E06C78"/>
    <w:rsid w:val="00EC1A2C"/>
    <w:rsid w:val="00F06DF0"/>
    <w:rsid w:val="00FF7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83A998"/>
  <w15:chartTrackingRefBased/>
  <w15:docId w15:val="{2561AC6F-4BAA-4351-8C87-3FB0CB04F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ja-JP"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F47"/>
  </w:style>
  <w:style w:type="paragraph" w:styleId="1">
    <w:name w:val="heading 1"/>
    <w:basedOn w:val="a"/>
    <w:next w:val="a"/>
    <w:link w:val="10"/>
    <w:uiPriority w:val="9"/>
    <w:qFormat/>
    <w:rsid w:val="00114205"/>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2">
    <w:name w:val="heading 2"/>
    <w:basedOn w:val="a"/>
    <w:next w:val="a"/>
    <w:link w:val="20"/>
    <w:uiPriority w:val="9"/>
    <w:unhideWhenUsed/>
    <w:qFormat/>
    <w:rsid w:val="00114205"/>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3">
    <w:name w:val="heading 3"/>
    <w:basedOn w:val="a"/>
    <w:next w:val="a"/>
    <w:link w:val="30"/>
    <w:uiPriority w:val="9"/>
    <w:unhideWhenUsed/>
    <w:qFormat/>
    <w:rsid w:val="00114205"/>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114205"/>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114205"/>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114205"/>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114205"/>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114205"/>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114205"/>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53B2"/>
    <w:pPr>
      <w:ind w:leftChars="400" w:left="840"/>
    </w:pPr>
  </w:style>
  <w:style w:type="character" w:customStyle="1" w:styleId="10">
    <w:name w:val="見出し 1 (文字)"/>
    <w:basedOn w:val="a0"/>
    <w:link w:val="1"/>
    <w:uiPriority w:val="9"/>
    <w:rsid w:val="00114205"/>
    <w:rPr>
      <w:rFonts w:asciiTheme="majorHAnsi" w:eastAsiaTheme="majorEastAsia" w:hAnsiTheme="majorHAnsi" w:cstheme="majorBidi"/>
      <w:color w:val="365F91" w:themeColor="accent1" w:themeShade="BF"/>
      <w:sz w:val="36"/>
      <w:szCs w:val="36"/>
    </w:rPr>
  </w:style>
  <w:style w:type="character" w:customStyle="1" w:styleId="20">
    <w:name w:val="見出し 2 (文字)"/>
    <w:basedOn w:val="a0"/>
    <w:link w:val="2"/>
    <w:uiPriority w:val="9"/>
    <w:rsid w:val="00114205"/>
    <w:rPr>
      <w:rFonts w:asciiTheme="majorHAnsi" w:eastAsiaTheme="majorEastAsia" w:hAnsiTheme="majorHAnsi" w:cstheme="majorBidi"/>
      <w:color w:val="365F91" w:themeColor="accent1" w:themeShade="BF"/>
      <w:sz w:val="28"/>
      <w:szCs w:val="28"/>
    </w:rPr>
  </w:style>
  <w:style w:type="character" w:customStyle="1" w:styleId="30">
    <w:name w:val="見出し 3 (文字)"/>
    <w:basedOn w:val="a0"/>
    <w:link w:val="3"/>
    <w:uiPriority w:val="9"/>
    <w:rsid w:val="00114205"/>
    <w:rPr>
      <w:rFonts w:asciiTheme="majorHAnsi" w:eastAsiaTheme="majorEastAsia" w:hAnsiTheme="majorHAnsi" w:cstheme="majorBidi"/>
      <w:color w:val="404040" w:themeColor="text1" w:themeTint="BF"/>
      <w:sz w:val="26"/>
      <w:szCs w:val="26"/>
    </w:rPr>
  </w:style>
  <w:style w:type="character" w:customStyle="1" w:styleId="40">
    <w:name w:val="見出し 4 (文字)"/>
    <w:basedOn w:val="a0"/>
    <w:link w:val="4"/>
    <w:uiPriority w:val="9"/>
    <w:semiHidden/>
    <w:rsid w:val="00114205"/>
    <w:rPr>
      <w:rFonts w:asciiTheme="majorHAnsi" w:eastAsiaTheme="majorEastAsia" w:hAnsiTheme="majorHAnsi" w:cstheme="majorBidi"/>
      <w:sz w:val="24"/>
      <w:szCs w:val="24"/>
    </w:rPr>
  </w:style>
  <w:style w:type="character" w:customStyle="1" w:styleId="50">
    <w:name w:val="見出し 5 (文字)"/>
    <w:basedOn w:val="a0"/>
    <w:link w:val="5"/>
    <w:uiPriority w:val="9"/>
    <w:semiHidden/>
    <w:rsid w:val="00114205"/>
    <w:rPr>
      <w:rFonts w:asciiTheme="majorHAnsi" w:eastAsiaTheme="majorEastAsia" w:hAnsiTheme="majorHAnsi" w:cstheme="majorBidi"/>
      <w:i/>
      <w:iCs/>
      <w:sz w:val="22"/>
      <w:szCs w:val="22"/>
    </w:rPr>
  </w:style>
  <w:style w:type="character" w:customStyle="1" w:styleId="60">
    <w:name w:val="見出し 6 (文字)"/>
    <w:basedOn w:val="a0"/>
    <w:link w:val="6"/>
    <w:uiPriority w:val="9"/>
    <w:semiHidden/>
    <w:rsid w:val="00114205"/>
    <w:rPr>
      <w:rFonts w:asciiTheme="majorHAnsi" w:eastAsiaTheme="majorEastAsia" w:hAnsiTheme="majorHAnsi" w:cstheme="majorBidi"/>
      <w:color w:val="595959" w:themeColor="text1" w:themeTint="A6"/>
    </w:rPr>
  </w:style>
  <w:style w:type="character" w:customStyle="1" w:styleId="70">
    <w:name w:val="見出し 7 (文字)"/>
    <w:basedOn w:val="a0"/>
    <w:link w:val="7"/>
    <w:uiPriority w:val="9"/>
    <w:semiHidden/>
    <w:rsid w:val="00114205"/>
    <w:rPr>
      <w:rFonts w:asciiTheme="majorHAnsi" w:eastAsiaTheme="majorEastAsia" w:hAnsiTheme="majorHAnsi" w:cstheme="majorBidi"/>
      <w:i/>
      <w:iCs/>
      <w:color w:val="595959" w:themeColor="text1" w:themeTint="A6"/>
    </w:rPr>
  </w:style>
  <w:style w:type="character" w:customStyle="1" w:styleId="80">
    <w:name w:val="見出し 8 (文字)"/>
    <w:basedOn w:val="a0"/>
    <w:link w:val="8"/>
    <w:uiPriority w:val="9"/>
    <w:semiHidden/>
    <w:rsid w:val="00114205"/>
    <w:rPr>
      <w:rFonts w:asciiTheme="majorHAnsi" w:eastAsiaTheme="majorEastAsia" w:hAnsiTheme="majorHAnsi" w:cstheme="majorBidi"/>
      <w:smallCaps/>
      <w:color w:val="595959" w:themeColor="text1" w:themeTint="A6"/>
    </w:rPr>
  </w:style>
  <w:style w:type="character" w:customStyle="1" w:styleId="90">
    <w:name w:val="見出し 9 (文字)"/>
    <w:basedOn w:val="a0"/>
    <w:link w:val="9"/>
    <w:uiPriority w:val="9"/>
    <w:semiHidden/>
    <w:rsid w:val="00114205"/>
    <w:rPr>
      <w:rFonts w:asciiTheme="majorHAnsi" w:eastAsiaTheme="majorEastAsia" w:hAnsiTheme="majorHAnsi" w:cstheme="majorBidi"/>
      <w:i/>
      <w:iCs/>
      <w:smallCaps/>
      <w:color w:val="595959" w:themeColor="text1" w:themeTint="A6"/>
    </w:rPr>
  </w:style>
  <w:style w:type="paragraph" w:styleId="a4">
    <w:name w:val="caption"/>
    <w:basedOn w:val="a"/>
    <w:next w:val="a"/>
    <w:uiPriority w:val="35"/>
    <w:semiHidden/>
    <w:unhideWhenUsed/>
    <w:qFormat/>
    <w:rsid w:val="00114205"/>
    <w:pPr>
      <w:spacing w:line="240" w:lineRule="auto"/>
    </w:pPr>
    <w:rPr>
      <w:b/>
      <w:bCs/>
      <w:color w:val="404040" w:themeColor="text1" w:themeTint="BF"/>
      <w:sz w:val="20"/>
      <w:szCs w:val="20"/>
    </w:rPr>
  </w:style>
  <w:style w:type="paragraph" w:styleId="a5">
    <w:name w:val="Title"/>
    <w:basedOn w:val="a"/>
    <w:next w:val="a"/>
    <w:link w:val="a6"/>
    <w:uiPriority w:val="10"/>
    <w:qFormat/>
    <w:rsid w:val="00114205"/>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a6">
    <w:name w:val="表題 (文字)"/>
    <w:basedOn w:val="a0"/>
    <w:link w:val="a5"/>
    <w:uiPriority w:val="10"/>
    <w:rsid w:val="00114205"/>
    <w:rPr>
      <w:rFonts w:asciiTheme="majorHAnsi" w:eastAsiaTheme="majorEastAsia" w:hAnsiTheme="majorHAnsi" w:cstheme="majorBidi"/>
      <w:color w:val="365F91" w:themeColor="accent1" w:themeShade="BF"/>
      <w:spacing w:val="-7"/>
      <w:sz w:val="80"/>
      <w:szCs w:val="80"/>
    </w:rPr>
  </w:style>
  <w:style w:type="paragraph" w:styleId="a7">
    <w:name w:val="Subtitle"/>
    <w:basedOn w:val="a"/>
    <w:next w:val="a"/>
    <w:link w:val="a8"/>
    <w:uiPriority w:val="11"/>
    <w:qFormat/>
    <w:rsid w:val="00114205"/>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8">
    <w:name w:val="副題 (文字)"/>
    <w:basedOn w:val="a0"/>
    <w:link w:val="a7"/>
    <w:uiPriority w:val="11"/>
    <w:rsid w:val="00114205"/>
    <w:rPr>
      <w:rFonts w:asciiTheme="majorHAnsi" w:eastAsiaTheme="majorEastAsia" w:hAnsiTheme="majorHAnsi" w:cstheme="majorBidi"/>
      <w:color w:val="404040" w:themeColor="text1" w:themeTint="BF"/>
      <w:sz w:val="30"/>
      <w:szCs w:val="30"/>
    </w:rPr>
  </w:style>
  <w:style w:type="character" w:styleId="a9">
    <w:name w:val="Strong"/>
    <w:basedOn w:val="a0"/>
    <w:uiPriority w:val="22"/>
    <w:qFormat/>
    <w:rsid w:val="00114205"/>
    <w:rPr>
      <w:b/>
      <w:bCs/>
    </w:rPr>
  </w:style>
  <w:style w:type="character" w:styleId="aa">
    <w:name w:val="Emphasis"/>
    <w:basedOn w:val="a0"/>
    <w:uiPriority w:val="20"/>
    <w:qFormat/>
    <w:rsid w:val="00114205"/>
    <w:rPr>
      <w:i/>
      <w:iCs/>
    </w:rPr>
  </w:style>
  <w:style w:type="paragraph" w:styleId="ab">
    <w:name w:val="No Spacing"/>
    <w:uiPriority w:val="1"/>
    <w:qFormat/>
    <w:rsid w:val="00114205"/>
    <w:pPr>
      <w:spacing w:after="0" w:line="240" w:lineRule="auto"/>
    </w:pPr>
  </w:style>
  <w:style w:type="paragraph" w:styleId="ac">
    <w:name w:val="Quote"/>
    <w:basedOn w:val="a"/>
    <w:next w:val="a"/>
    <w:link w:val="ad"/>
    <w:uiPriority w:val="29"/>
    <w:qFormat/>
    <w:rsid w:val="00114205"/>
    <w:pPr>
      <w:spacing w:before="240" w:after="240" w:line="252" w:lineRule="auto"/>
      <w:ind w:left="864" w:right="864"/>
      <w:jc w:val="center"/>
    </w:pPr>
    <w:rPr>
      <w:i/>
      <w:iCs/>
    </w:rPr>
  </w:style>
  <w:style w:type="character" w:customStyle="1" w:styleId="ad">
    <w:name w:val="引用文 (文字)"/>
    <w:basedOn w:val="a0"/>
    <w:link w:val="ac"/>
    <w:uiPriority w:val="29"/>
    <w:rsid w:val="00114205"/>
    <w:rPr>
      <w:i/>
      <w:iCs/>
    </w:rPr>
  </w:style>
  <w:style w:type="paragraph" w:styleId="21">
    <w:name w:val="Intense Quote"/>
    <w:basedOn w:val="a"/>
    <w:next w:val="a"/>
    <w:link w:val="22"/>
    <w:uiPriority w:val="30"/>
    <w:qFormat/>
    <w:rsid w:val="00114205"/>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22">
    <w:name w:val="引用文 2 (文字)"/>
    <w:basedOn w:val="a0"/>
    <w:link w:val="21"/>
    <w:uiPriority w:val="30"/>
    <w:rsid w:val="00114205"/>
    <w:rPr>
      <w:rFonts w:asciiTheme="majorHAnsi" w:eastAsiaTheme="majorEastAsia" w:hAnsiTheme="majorHAnsi" w:cstheme="majorBidi"/>
      <w:color w:val="4F81BD" w:themeColor="accent1"/>
      <w:sz w:val="28"/>
      <w:szCs w:val="28"/>
    </w:rPr>
  </w:style>
  <w:style w:type="character" w:styleId="ae">
    <w:name w:val="Subtle Emphasis"/>
    <w:basedOn w:val="a0"/>
    <w:uiPriority w:val="19"/>
    <w:qFormat/>
    <w:rsid w:val="00114205"/>
    <w:rPr>
      <w:i/>
      <w:iCs/>
      <w:color w:val="595959" w:themeColor="text1" w:themeTint="A6"/>
    </w:rPr>
  </w:style>
  <w:style w:type="character" w:styleId="23">
    <w:name w:val="Intense Emphasis"/>
    <w:basedOn w:val="a0"/>
    <w:uiPriority w:val="21"/>
    <w:qFormat/>
    <w:rsid w:val="00114205"/>
    <w:rPr>
      <w:b/>
      <w:bCs/>
      <w:i/>
      <w:iCs/>
    </w:rPr>
  </w:style>
  <w:style w:type="character" w:styleId="af">
    <w:name w:val="Subtle Reference"/>
    <w:basedOn w:val="a0"/>
    <w:uiPriority w:val="31"/>
    <w:qFormat/>
    <w:rsid w:val="00114205"/>
    <w:rPr>
      <w:smallCaps/>
      <w:color w:val="404040" w:themeColor="text1" w:themeTint="BF"/>
    </w:rPr>
  </w:style>
  <w:style w:type="character" w:styleId="24">
    <w:name w:val="Intense Reference"/>
    <w:basedOn w:val="a0"/>
    <w:uiPriority w:val="32"/>
    <w:qFormat/>
    <w:rsid w:val="00114205"/>
    <w:rPr>
      <w:b/>
      <w:bCs/>
      <w:smallCaps/>
      <w:u w:val="single"/>
    </w:rPr>
  </w:style>
  <w:style w:type="character" w:styleId="af0">
    <w:name w:val="Book Title"/>
    <w:basedOn w:val="a0"/>
    <w:uiPriority w:val="33"/>
    <w:qFormat/>
    <w:rsid w:val="00114205"/>
    <w:rPr>
      <w:b/>
      <w:bCs/>
      <w:smallCaps/>
    </w:rPr>
  </w:style>
  <w:style w:type="paragraph" w:styleId="af1">
    <w:name w:val="TOC Heading"/>
    <w:basedOn w:val="1"/>
    <w:next w:val="a"/>
    <w:uiPriority w:val="39"/>
    <w:unhideWhenUsed/>
    <w:qFormat/>
    <w:rsid w:val="00114205"/>
    <w:pPr>
      <w:outlineLvl w:val="9"/>
    </w:pPr>
  </w:style>
  <w:style w:type="paragraph" w:styleId="11">
    <w:name w:val="toc 1"/>
    <w:basedOn w:val="a"/>
    <w:next w:val="a"/>
    <w:autoRedefine/>
    <w:uiPriority w:val="39"/>
    <w:unhideWhenUsed/>
    <w:rsid w:val="005536FC"/>
  </w:style>
  <w:style w:type="character" w:styleId="af2">
    <w:name w:val="Hyperlink"/>
    <w:basedOn w:val="a0"/>
    <w:uiPriority w:val="99"/>
    <w:unhideWhenUsed/>
    <w:rsid w:val="005536FC"/>
    <w:rPr>
      <w:color w:val="0000FF" w:themeColor="hyperlink"/>
      <w:u w:val="single"/>
    </w:rPr>
  </w:style>
  <w:style w:type="paragraph" w:styleId="af3">
    <w:name w:val="header"/>
    <w:basedOn w:val="a"/>
    <w:link w:val="af4"/>
    <w:uiPriority w:val="99"/>
    <w:unhideWhenUsed/>
    <w:rsid w:val="00E06C78"/>
    <w:pPr>
      <w:tabs>
        <w:tab w:val="center" w:pos="4252"/>
        <w:tab w:val="right" w:pos="8504"/>
      </w:tabs>
      <w:snapToGrid w:val="0"/>
    </w:pPr>
  </w:style>
  <w:style w:type="character" w:customStyle="1" w:styleId="af4">
    <w:name w:val="ヘッダー (文字)"/>
    <w:basedOn w:val="a0"/>
    <w:link w:val="af3"/>
    <w:uiPriority w:val="99"/>
    <w:rsid w:val="00E06C78"/>
  </w:style>
  <w:style w:type="paragraph" w:styleId="af5">
    <w:name w:val="footer"/>
    <w:basedOn w:val="a"/>
    <w:link w:val="af6"/>
    <w:uiPriority w:val="99"/>
    <w:unhideWhenUsed/>
    <w:rsid w:val="00E06C78"/>
    <w:pPr>
      <w:tabs>
        <w:tab w:val="center" w:pos="4252"/>
        <w:tab w:val="right" w:pos="8504"/>
      </w:tabs>
      <w:snapToGrid w:val="0"/>
    </w:pPr>
  </w:style>
  <w:style w:type="character" w:customStyle="1" w:styleId="af6">
    <w:name w:val="フッター (文字)"/>
    <w:basedOn w:val="a0"/>
    <w:link w:val="af5"/>
    <w:uiPriority w:val="99"/>
    <w:rsid w:val="00E06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E7087-A3AC-4C86-9DCA-91F0C52CE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3</Pages>
  <Words>298</Words>
  <Characters>1701</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mieken</cp:lastModifiedBy>
  <cp:revision>16</cp:revision>
  <dcterms:created xsi:type="dcterms:W3CDTF">2019-11-08T01:19:00Z</dcterms:created>
  <dcterms:modified xsi:type="dcterms:W3CDTF">2020-02-17T02:41:00Z</dcterms:modified>
</cp:coreProperties>
</file>